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EE87" w14:textId="59E18BCA" w:rsidR="00D373E6" w:rsidRPr="009C46F6" w:rsidRDefault="006920D1" w:rsidP="00581E16">
      <w:pPr>
        <w:pStyle w:val="Tytu"/>
        <w:spacing w:line="276" w:lineRule="auto"/>
        <w:ind w:left="4248" w:right="-2" w:hanging="4248"/>
        <w:jc w:val="right"/>
        <w:rPr>
          <w:rFonts w:ascii="Cambria" w:hAnsi="Cambria" w:cs="Arial"/>
          <w:b w:val="0"/>
          <w:bCs w:val="0"/>
          <w:i/>
          <w:iCs/>
          <w:color w:val="auto"/>
          <w:sz w:val="20"/>
          <w:szCs w:val="20"/>
          <w:u w:val="single"/>
        </w:rPr>
      </w:pPr>
      <w:r w:rsidRPr="009C46F6">
        <w:rPr>
          <w:rFonts w:ascii="Cambria" w:eastAsia="Times-Roman" w:hAnsi="Cambria" w:cs="Arial"/>
          <w:color w:val="auto"/>
          <w:sz w:val="20"/>
          <w:szCs w:val="20"/>
        </w:rPr>
        <w:t>Lipnik</w:t>
      </w:r>
      <w:r w:rsidR="002F45C1" w:rsidRPr="009C46F6">
        <w:rPr>
          <w:rFonts w:ascii="Cambria" w:hAnsi="Cambria" w:cs="Tahoma"/>
          <w:b w:val="0"/>
          <w:color w:val="auto"/>
          <w:sz w:val="20"/>
          <w:szCs w:val="20"/>
        </w:rPr>
        <w:t>,</w:t>
      </w:r>
      <w:r w:rsidR="00D373E6" w:rsidRPr="009C46F6">
        <w:rPr>
          <w:rFonts w:ascii="Cambria" w:hAnsi="Cambria" w:cs="Tahoma"/>
          <w:b w:val="0"/>
          <w:color w:val="auto"/>
          <w:sz w:val="20"/>
          <w:szCs w:val="20"/>
        </w:rPr>
        <w:t xml:space="preserve"> dnia </w:t>
      </w:r>
      <w:r w:rsidR="009C46F6" w:rsidRPr="009C46F6">
        <w:rPr>
          <w:rFonts w:ascii="Cambria" w:eastAsia="Times-Roman" w:hAnsi="Cambria" w:cs="Tahoma"/>
          <w:b w:val="0"/>
          <w:color w:val="auto"/>
          <w:sz w:val="20"/>
          <w:szCs w:val="20"/>
        </w:rPr>
        <w:t>13.</w:t>
      </w:r>
      <w:r w:rsidR="00DC0CFB" w:rsidRPr="009C46F6">
        <w:rPr>
          <w:rFonts w:ascii="Cambria" w:eastAsia="Times-Roman" w:hAnsi="Cambria" w:cs="Tahoma"/>
          <w:b w:val="0"/>
          <w:color w:val="auto"/>
          <w:sz w:val="20"/>
          <w:szCs w:val="20"/>
        </w:rPr>
        <w:t>1</w:t>
      </w:r>
      <w:r w:rsidR="009C46F6" w:rsidRPr="009C46F6">
        <w:rPr>
          <w:rFonts w:ascii="Cambria" w:eastAsia="Times-Roman" w:hAnsi="Cambria" w:cs="Tahoma"/>
          <w:b w:val="0"/>
          <w:color w:val="auto"/>
          <w:sz w:val="20"/>
          <w:szCs w:val="20"/>
        </w:rPr>
        <w:t>1</w:t>
      </w:r>
      <w:r w:rsidR="00E2557A" w:rsidRPr="009C46F6">
        <w:rPr>
          <w:rFonts w:ascii="Cambria" w:eastAsia="Times-Roman" w:hAnsi="Cambria" w:cs="Tahoma"/>
          <w:b w:val="0"/>
          <w:color w:val="auto"/>
          <w:sz w:val="20"/>
          <w:szCs w:val="20"/>
        </w:rPr>
        <w:t>.</w:t>
      </w:r>
      <w:r w:rsidR="00F268ED" w:rsidRPr="009C46F6">
        <w:rPr>
          <w:rFonts w:ascii="Cambria" w:eastAsia="Times-Roman" w:hAnsi="Cambria" w:cs="Tahoma"/>
          <w:b w:val="0"/>
          <w:color w:val="auto"/>
          <w:sz w:val="20"/>
          <w:szCs w:val="20"/>
        </w:rPr>
        <w:t>2020</w:t>
      </w:r>
      <w:r w:rsidR="00866DE3" w:rsidRPr="009C46F6">
        <w:rPr>
          <w:rFonts w:ascii="Cambria" w:eastAsia="Times-Roman" w:hAnsi="Cambria" w:cs="Tahoma"/>
          <w:b w:val="0"/>
          <w:color w:val="auto"/>
          <w:sz w:val="20"/>
          <w:szCs w:val="20"/>
        </w:rPr>
        <w:t xml:space="preserve"> r.</w:t>
      </w:r>
    </w:p>
    <w:p w14:paraId="7EA19CC9" w14:textId="77777777"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77777777" w:rsidR="00554B4B" w:rsidRPr="00062E73" w:rsidRDefault="00554B4B" w:rsidP="00581E16">
      <w:pPr>
        <w:pStyle w:val="Tytu"/>
        <w:spacing w:line="276" w:lineRule="auto"/>
        <w:ind w:right="6376"/>
        <w:rPr>
          <w:rFonts w:ascii="Cambria" w:hAnsi="Cambria"/>
          <w:b w:val="0"/>
          <w:sz w:val="20"/>
          <w:szCs w:val="20"/>
        </w:rPr>
      </w:pP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245BEC58" w14:textId="77777777" w:rsidR="009C46F6" w:rsidRDefault="009C46F6" w:rsidP="00581E16">
      <w:pPr>
        <w:pStyle w:val="Tytu"/>
        <w:spacing w:after="60" w:line="276" w:lineRule="auto"/>
        <w:rPr>
          <w:rFonts w:ascii="Cambria" w:hAnsi="Cambria"/>
          <w:iCs/>
          <w:color w:val="FF0000"/>
          <w:sz w:val="20"/>
          <w:szCs w:val="20"/>
          <w:u w:val="single"/>
        </w:rPr>
      </w:pPr>
    </w:p>
    <w:p w14:paraId="4F6036EB" w14:textId="38950C07" w:rsidR="009C46F6" w:rsidRPr="009C46F6" w:rsidRDefault="009C46F6" w:rsidP="00581E16">
      <w:pPr>
        <w:pStyle w:val="Tytu"/>
        <w:spacing w:after="60" w:line="276" w:lineRule="auto"/>
        <w:rPr>
          <w:rFonts w:ascii="Cambria" w:hAnsi="Cambria"/>
          <w:iCs/>
          <w:color w:val="FF0000"/>
          <w:sz w:val="20"/>
          <w:szCs w:val="20"/>
          <w:u w:val="single"/>
        </w:rPr>
      </w:pPr>
      <w:r>
        <w:rPr>
          <w:rFonts w:ascii="Cambria" w:hAnsi="Cambria"/>
          <w:iCs/>
          <w:color w:val="FF0000"/>
          <w:sz w:val="20"/>
          <w:szCs w:val="20"/>
          <w:u w:val="single"/>
        </w:rPr>
        <w:t>MODYFIKACJA</w:t>
      </w:r>
      <w:bookmarkStart w:id="0" w:name="_GoBack"/>
      <w:bookmarkEnd w:id="0"/>
      <w:r>
        <w:rPr>
          <w:rFonts w:ascii="Cambria" w:hAnsi="Cambria"/>
          <w:iCs/>
          <w:color w:val="FF0000"/>
          <w:sz w:val="20"/>
          <w:szCs w:val="20"/>
          <w:u w:val="single"/>
        </w:rPr>
        <w:t xml:space="preserve"> z dnia 01.12.2020 r.</w:t>
      </w:r>
    </w:p>
    <w:p w14:paraId="1D485E14" w14:textId="652B7624"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753863" w14:paraId="65FBCAF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744B8" w14:textId="77777777" w:rsidR="00554B4B" w:rsidRPr="00721201" w:rsidRDefault="00554B4B" w:rsidP="00581E16">
            <w:pPr>
              <w:pStyle w:val="Tekstpodstawowy3"/>
              <w:tabs>
                <w:tab w:val="left" w:pos="2410"/>
              </w:tabs>
              <w:spacing w:before="120" w:line="276" w:lineRule="auto"/>
              <w:jc w:val="center"/>
              <w:rPr>
                <w:rFonts w:ascii="Cambria" w:hAnsi="Cambria"/>
                <w:b/>
                <w:bCs/>
                <w:sz w:val="20"/>
                <w:szCs w:val="20"/>
              </w:rPr>
            </w:pPr>
            <w:r w:rsidRPr="00721201">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40DBB" w14:textId="59D7D89E" w:rsidR="00BB4535" w:rsidRPr="00721201" w:rsidRDefault="00BB4535" w:rsidP="00EA1CC6">
            <w:pPr>
              <w:pStyle w:val="pkt"/>
              <w:ind w:hanging="851"/>
              <w:jc w:val="left"/>
              <w:rPr>
                <w:rFonts w:ascii="Cambria" w:hAnsi="Cambria" w:cs="Arial"/>
                <w:b/>
                <w:bCs/>
                <w:sz w:val="20"/>
                <w:szCs w:val="20"/>
              </w:rPr>
            </w:pPr>
            <w:r w:rsidRPr="00721201">
              <w:rPr>
                <w:rFonts w:ascii="Cambria" w:hAnsi="Cambria" w:cs="Arial"/>
                <w:b/>
                <w:bCs/>
                <w:sz w:val="20"/>
                <w:szCs w:val="20"/>
              </w:rPr>
              <w:t>Gmin</w:t>
            </w:r>
            <w:r w:rsidR="00C51070" w:rsidRPr="00721201">
              <w:rPr>
                <w:rFonts w:ascii="Cambria" w:hAnsi="Cambria" w:cs="Arial"/>
                <w:b/>
                <w:bCs/>
                <w:sz w:val="20"/>
                <w:szCs w:val="20"/>
              </w:rPr>
              <w:t>a</w:t>
            </w:r>
            <w:r w:rsidRPr="00721201">
              <w:rPr>
                <w:rFonts w:ascii="Cambria" w:hAnsi="Cambria" w:cs="Arial"/>
                <w:b/>
                <w:bCs/>
                <w:sz w:val="20"/>
                <w:szCs w:val="20"/>
              </w:rPr>
              <w:t xml:space="preserve"> </w:t>
            </w:r>
            <w:r w:rsidR="006920D1" w:rsidRPr="00721201">
              <w:rPr>
                <w:rFonts w:ascii="Cambria" w:hAnsi="Cambria" w:cs="Arial"/>
                <w:b/>
                <w:bCs/>
                <w:sz w:val="20"/>
                <w:szCs w:val="20"/>
              </w:rPr>
              <w:t>Lipnik</w:t>
            </w:r>
          </w:p>
          <w:p w14:paraId="50F48022" w14:textId="77777777" w:rsidR="00753863"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Lipnik 20</w:t>
            </w:r>
          </w:p>
          <w:p w14:paraId="63B0B24D" w14:textId="583AEFB7" w:rsidR="006920D1"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27-540 Lipnik</w:t>
            </w:r>
          </w:p>
          <w:p w14:paraId="3C67316F" w14:textId="5D0E68DB" w:rsidR="00EA1CC6"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t</w:t>
            </w:r>
            <w:r w:rsidR="00EA1CC6" w:rsidRPr="00721201">
              <w:rPr>
                <w:rFonts w:ascii="Cambria" w:hAnsi="Cambria"/>
                <w:b/>
                <w:bCs/>
                <w:sz w:val="20"/>
                <w:szCs w:val="20"/>
              </w:rPr>
              <w:t>el.</w:t>
            </w:r>
            <w:r w:rsidRPr="00721201">
              <w:rPr>
                <w:rFonts w:ascii="Cambria" w:hAnsi="Cambria"/>
                <w:b/>
                <w:bCs/>
                <w:sz w:val="20"/>
                <w:szCs w:val="20"/>
              </w:rPr>
              <w:t xml:space="preserve"> (015) 869 14 10 </w:t>
            </w:r>
            <w:r w:rsidR="00EA1CC6" w:rsidRPr="00721201">
              <w:rPr>
                <w:rFonts w:ascii="Cambria" w:hAnsi="Cambria"/>
                <w:b/>
                <w:bCs/>
                <w:sz w:val="20"/>
                <w:szCs w:val="20"/>
              </w:rPr>
              <w:t>, fax</w:t>
            </w:r>
            <w:r w:rsidRPr="00721201">
              <w:rPr>
                <w:rFonts w:ascii="Cambria" w:hAnsi="Cambria"/>
                <w:b/>
                <w:bCs/>
                <w:sz w:val="20"/>
                <w:szCs w:val="20"/>
              </w:rPr>
              <w:t xml:space="preserve"> (015) 869 17 54</w:t>
            </w:r>
            <w:r w:rsidR="00EA1CC6" w:rsidRPr="00721201">
              <w:rPr>
                <w:rFonts w:ascii="Cambria" w:hAnsi="Cambria"/>
                <w:b/>
                <w:bCs/>
                <w:sz w:val="20"/>
                <w:szCs w:val="20"/>
              </w:rPr>
              <w:t xml:space="preserve">. </w:t>
            </w:r>
          </w:p>
          <w:p w14:paraId="7551502A" w14:textId="0CD98C0D" w:rsidR="00EA1CC6" w:rsidRPr="00721201" w:rsidRDefault="00EA1CC6" w:rsidP="00EA1CC6">
            <w:pPr>
              <w:pStyle w:val="pkt"/>
              <w:ind w:hanging="851"/>
              <w:jc w:val="left"/>
              <w:rPr>
                <w:rFonts w:ascii="Cambria" w:hAnsi="Cambria"/>
                <w:b/>
                <w:bCs/>
                <w:sz w:val="20"/>
                <w:szCs w:val="20"/>
              </w:rPr>
            </w:pPr>
            <w:r w:rsidRPr="00721201">
              <w:rPr>
                <w:rFonts w:ascii="Cambria" w:hAnsi="Cambria"/>
                <w:b/>
                <w:bCs/>
                <w:sz w:val="20"/>
                <w:szCs w:val="20"/>
              </w:rPr>
              <w:t xml:space="preserve">strona internetowa: </w:t>
            </w:r>
            <w:r w:rsidR="00753863" w:rsidRPr="00721201">
              <w:rPr>
                <w:rFonts w:ascii="Cambria" w:hAnsi="Cambria"/>
                <w:b/>
                <w:bCs/>
                <w:sz w:val="20"/>
                <w:szCs w:val="20"/>
              </w:rPr>
              <w:t xml:space="preserve"> www.lipnik.pl</w:t>
            </w:r>
          </w:p>
          <w:p w14:paraId="3E874200" w14:textId="0256DA0B" w:rsidR="00DD2B12" w:rsidRPr="0055069E" w:rsidRDefault="00EA1CC6" w:rsidP="0055069E">
            <w:pPr>
              <w:pStyle w:val="pkt"/>
              <w:ind w:hanging="851"/>
              <w:jc w:val="left"/>
              <w:rPr>
                <w:rFonts w:ascii="Cambria" w:hAnsi="Cambria"/>
                <w:b/>
                <w:bCs/>
                <w:sz w:val="20"/>
                <w:szCs w:val="20"/>
              </w:rPr>
            </w:pPr>
            <w:r w:rsidRPr="00721201">
              <w:rPr>
                <w:rFonts w:ascii="Cambria" w:hAnsi="Cambria"/>
                <w:b/>
                <w:bCs/>
                <w:sz w:val="20"/>
                <w:szCs w:val="20"/>
              </w:rPr>
              <w:t xml:space="preserve">BIP: </w:t>
            </w:r>
            <w:r w:rsidR="00753863" w:rsidRPr="00721201">
              <w:rPr>
                <w:rFonts w:ascii="Cambria" w:hAnsi="Cambria"/>
                <w:b/>
                <w:bCs/>
                <w:sz w:val="20"/>
                <w:szCs w:val="20"/>
              </w:rPr>
              <w:t>www.bip.lipnik.pl</w:t>
            </w:r>
          </w:p>
        </w:tc>
      </w:tr>
      <w:tr w:rsidR="0055069E" w:rsidRPr="005A37B0" w14:paraId="75F6AB9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0A3BCCC" w14:textId="31192681" w:rsidR="0055069E" w:rsidRPr="00721201" w:rsidRDefault="0055069E" w:rsidP="00581E16">
            <w:pPr>
              <w:pStyle w:val="Tekstpodstawowy3"/>
              <w:tabs>
                <w:tab w:val="left" w:pos="2410"/>
              </w:tabs>
              <w:spacing w:before="120" w:line="276" w:lineRule="auto"/>
              <w:jc w:val="center"/>
              <w:rPr>
                <w:rFonts w:ascii="Cambria" w:hAnsi="Cambria"/>
                <w:b/>
                <w:bCs/>
                <w:sz w:val="20"/>
                <w:szCs w:val="20"/>
              </w:rPr>
            </w:pPr>
            <w:r w:rsidRPr="000756C6">
              <w:rPr>
                <w:rFonts w:ascii="Cambria" w:hAnsi="Cambria" w:cs="Arial"/>
                <w:b/>
                <w:sz w:val="20"/>
                <w:szCs w:val="20"/>
              </w:rPr>
              <w:t>Prowadzący postępowanie:</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43308BD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Kancelaria Prawna Jakóbik i Ziemba</w:t>
            </w:r>
          </w:p>
          <w:p w14:paraId="3871114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Kielce, ul. Warszawska 7 lok. 27A</w:t>
            </w:r>
          </w:p>
          <w:p w14:paraId="64B041F5" w14:textId="77777777" w:rsidR="0055069E" w:rsidRPr="000756C6" w:rsidRDefault="0055069E" w:rsidP="0055069E">
            <w:pPr>
              <w:rPr>
                <w:rFonts w:ascii="Cambria" w:hAnsi="Cambria" w:cs="Arial"/>
                <w:b/>
                <w:bCs/>
                <w:sz w:val="20"/>
                <w:szCs w:val="20"/>
              </w:rPr>
            </w:pPr>
            <w:r w:rsidRPr="000756C6">
              <w:rPr>
                <w:rFonts w:ascii="Cambria" w:hAnsi="Cambria" w:cs="Arial"/>
                <w:b/>
                <w:bCs/>
                <w:sz w:val="20"/>
                <w:szCs w:val="20"/>
              </w:rPr>
              <w:t xml:space="preserve">Strona internetowa: </w:t>
            </w:r>
            <w:hyperlink r:id="rId9" w:history="1">
              <w:r w:rsidRPr="000756C6">
                <w:rPr>
                  <w:rStyle w:val="Hipercze"/>
                  <w:rFonts w:ascii="Cambria" w:hAnsi="Cambria" w:cs="Arial"/>
                  <w:b/>
                  <w:bCs/>
                  <w:sz w:val="20"/>
                  <w:szCs w:val="20"/>
                </w:rPr>
                <w:t>www.kancelariajiz.pl</w:t>
              </w:r>
            </w:hyperlink>
            <w:r w:rsidRPr="000756C6">
              <w:rPr>
                <w:rFonts w:ascii="Cambria" w:hAnsi="Cambria" w:cs="Arial"/>
                <w:b/>
                <w:bCs/>
                <w:sz w:val="20"/>
                <w:szCs w:val="20"/>
              </w:rPr>
              <w:t xml:space="preserve"> </w:t>
            </w:r>
          </w:p>
          <w:p w14:paraId="048ED10E" w14:textId="58DF2F31" w:rsidR="0055069E" w:rsidRPr="007B0889" w:rsidRDefault="0055069E" w:rsidP="0055069E">
            <w:pPr>
              <w:pStyle w:val="pkt"/>
              <w:spacing w:before="0"/>
              <w:ind w:hanging="851"/>
              <w:jc w:val="left"/>
              <w:rPr>
                <w:rFonts w:ascii="Cambria" w:hAnsi="Cambria" w:cs="Arial"/>
                <w:b/>
                <w:bCs/>
                <w:sz w:val="20"/>
                <w:szCs w:val="20"/>
                <w:lang w:val="en-US"/>
              </w:rPr>
            </w:pPr>
            <w:r w:rsidRPr="000756C6">
              <w:rPr>
                <w:rFonts w:ascii="Cambria" w:hAnsi="Cambria" w:cs="Arial"/>
                <w:b/>
                <w:bCs/>
                <w:sz w:val="20"/>
                <w:szCs w:val="20"/>
                <w:lang w:val="en-US"/>
              </w:rPr>
              <w:t>e-mail:</w:t>
            </w:r>
            <w:r w:rsidRPr="00055115">
              <w:rPr>
                <w:rFonts w:ascii="Cambria" w:hAnsi="Cambria" w:cs="Arial"/>
                <w:b/>
                <w:bCs/>
                <w:sz w:val="20"/>
                <w:szCs w:val="20"/>
                <w:lang w:val="en-US"/>
              </w:rPr>
              <w:t xml:space="preserve"> </w:t>
            </w:r>
            <w:hyperlink r:id="rId10" w:history="1">
              <w:r w:rsidRPr="00055115">
                <w:rPr>
                  <w:rStyle w:val="Hipercze"/>
                  <w:rFonts w:ascii="Cambria" w:hAnsi="Cambria"/>
                  <w:b/>
                  <w:sz w:val="20"/>
                  <w:szCs w:val="20"/>
                  <w:lang w:val="en-US"/>
                </w:rPr>
                <w:t>przetargi</w:t>
              </w:r>
              <w:r w:rsidRPr="00055115">
                <w:rPr>
                  <w:rStyle w:val="Hipercze"/>
                  <w:rFonts w:ascii="Cambria" w:hAnsi="Cambria" w:cs="Arial"/>
                  <w:b/>
                  <w:bCs/>
                  <w:sz w:val="20"/>
                  <w:szCs w:val="20"/>
                  <w:lang w:val="en-US"/>
                </w:rPr>
                <w:t>@kancelariajiz.pl</w:t>
              </w:r>
            </w:hyperlink>
          </w:p>
        </w:tc>
      </w:tr>
    </w:tbl>
    <w:p w14:paraId="07A7800B" w14:textId="4EE474E3"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75386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miniPortalu </w:t>
      </w:r>
      <w:hyperlink r:id="rId11"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ePUAPu </w:t>
      </w:r>
      <w:hyperlink r:id="rId12"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Za datę przekazania oferty, wniosków, zawiadomień,  dokumentów elektronicznych, oświadczeń lub elektronicznych kopii dokumentów lub oświadczeń oraz innych informacji przyjmuje się datę ich przekazania na ePUAP.</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miniPortalu.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766ADED2" w14:textId="77777777" w:rsidR="00554B4B" w:rsidRPr="009E6F9D" w:rsidRDefault="00554B4B" w:rsidP="00581E16">
      <w:pPr>
        <w:shd w:val="clear" w:color="auto" w:fill="BFBFBF"/>
        <w:spacing w:line="276" w:lineRule="auto"/>
        <w:jc w:val="center"/>
        <w:rPr>
          <w:rFonts w:ascii="Cambria" w:hAnsi="Cambria" w:cs="Arial"/>
          <w:b/>
          <w:sz w:val="22"/>
          <w:szCs w:val="22"/>
        </w:rPr>
      </w:pPr>
    </w:p>
    <w:p w14:paraId="12D1FCF5" w14:textId="6A405741" w:rsidR="00BB4535" w:rsidRDefault="000504E8" w:rsidP="006920D1">
      <w:pPr>
        <w:shd w:val="clear" w:color="auto" w:fill="BFBFBF"/>
        <w:spacing w:line="276" w:lineRule="auto"/>
        <w:jc w:val="center"/>
        <w:rPr>
          <w:rFonts w:ascii="Cambria" w:hAnsi="Cambria" w:cs="Arial"/>
          <w:b/>
          <w:bCs/>
        </w:rPr>
      </w:pPr>
      <w:r>
        <w:rPr>
          <w:rFonts w:ascii="Cambria" w:hAnsi="Cambria" w:cs="Arial"/>
          <w:b/>
          <w:bCs/>
        </w:rPr>
        <w:t>„</w:t>
      </w:r>
      <w:r w:rsidR="006920D1" w:rsidRPr="006920D1">
        <w:rPr>
          <w:rFonts w:ascii="Cambria" w:hAnsi="Cambria" w:cs="Arial"/>
          <w:b/>
          <w:bCs/>
        </w:rPr>
        <w:t>Kompleksowa modernizacja oświetlenia</w:t>
      </w:r>
      <w:r w:rsidR="006920D1">
        <w:rPr>
          <w:rFonts w:ascii="Cambria" w:hAnsi="Cambria" w:cs="Arial"/>
          <w:b/>
          <w:bCs/>
        </w:rPr>
        <w:t xml:space="preserve"> </w:t>
      </w:r>
      <w:r w:rsidR="006920D1" w:rsidRPr="006920D1">
        <w:rPr>
          <w:rFonts w:ascii="Cambria" w:hAnsi="Cambria" w:cs="Arial"/>
          <w:b/>
          <w:bCs/>
        </w:rPr>
        <w:t>ulicznego na terenie Gminy Lipnik</w:t>
      </w:r>
      <w:r>
        <w:rPr>
          <w:rFonts w:ascii="Cambria" w:hAnsi="Cambria" w:cs="Arial"/>
          <w:b/>
          <w:bCs/>
        </w:rPr>
        <w:t>”</w:t>
      </w:r>
    </w:p>
    <w:p w14:paraId="45E21F78" w14:textId="77777777" w:rsidR="000504E8" w:rsidRPr="00062E73" w:rsidRDefault="000504E8" w:rsidP="00BB4535">
      <w:pPr>
        <w:shd w:val="clear" w:color="auto" w:fill="BFBFBF"/>
        <w:spacing w:line="276" w:lineRule="auto"/>
        <w:jc w:val="center"/>
        <w:rPr>
          <w:rFonts w:ascii="Cambria" w:hAnsi="Cambria"/>
          <w:bCs/>
          <w:sz w:val="20"/>
          <w:szCs w:val="20"/>
        </w:rPr>
      </w:pPr>
    </w:p>
    <w:p w14:paraId="5541D450" w14:textId="77777777" w:rsidR="004E34A1" w:rsidRPr="00784470" w:rsidRDefault="00554B4B" w:rsidP="004E34A1">
      <w:pPr>
        <w:spacing w:line="276" w:lineRule="auto"/>
        <w:ind w:left="426" w:hanging="426"/>
        <w:jc w:val="both"/>
        <w:rPr>
          <w:rFonts w:ascii="Cambria" w:hAnsi="Cambria"/>
          <w:sz w:val="20"/>
          <w:szCs w:val="20"/>
        </w:rPr>
      </w:pPr>
      <w:r w:rsidRPr="00581E16">
        <w:rPr>
          <w:rFonts w:ascii="Cambria" w:hAnsi="Cambria"/>
          <w:b/>
          <w:bCs/>
          <w:sz w:val="20"/>
          <w:szCs w:val="20"/>
        </w:rPr>
        <w:t>3.1.</w:t>
      </w:r>
      <w:r w:rsidRPr="00062E73">
        <w:rPr>
          <w:rFonts w:ascii="Cambria" w:hAnsi="Cambria"/>
          <w:bCs/>
          <w:sz w:val="20"/>
          <w:szCs w:val="20"/>
        </w:rPr>
        <w:t xml:space="preserve"> </w:t>
      </w:r>
      <w:r w:rsidR="004E34A1" w:rsidRPr="00784470">
        <w:rPr>
          <w:rFonts w:ascii="Cambria" w:hAnsi="Cambria"/>
          <w:sz w:val="20"/>
          <w:szCs w:val="20"/>
        </w:rPr>
        <w:t>Przedmiotem zamówienia jest wykonanie zadania pn.: „Kompleksowa modernizacja oświetlenia</w:t>
      </w:r>
    </w:p>
    <w:p w14:paraId="597AEA69" w14:textId="77777777" w:rsidR="004E34A1" w:rsidRPr="00784470" w:rsidRDefault="004E34A1" w:rsidP="004E34A1">
      <w:pPr>
        <w:spacing w:line="276" w:lineRule="auto"/>
        <w:ind w:left="426"/>
        <w:jc w:val="both"/>
        <w:rPr>
          <w:rFonts w:ascii="Cambria" w:hAnsi="Cambria"/>
          <w:sz w:val="20"/>
          <w:szCs w:val="20"/>
        </w:rPr>
      </w:pPr>
      <w:r w:rsidRPr="00784470">
        <w:rPr>
          <w:rFonts w:ascii="Cambria" w:hAnsi="Cambria"/>
          <w:sz w:val="20"/>
          <w:szCs w:val="20"/>
        </w:rPr>
        <w:t>ulicznego na terenie Gminy Lipnik”.</w:t>
      </w:r>
    </w:p>
    <w:p w14:paraId="5B7FA6D1" w14:textId="77777777" w:rsidR="004E34A1" w:rsidRPr="00784470" w:rsidRDefault="004E34A1" w:rsidP="004E34A1">
      <w:pPr>
        <w:spacing w:line="276" w:lineRule="auto"/>
        <w:ind w:left="426"/>
        <w:jc w:val="both"/>
        <w:rPr>
          <w:rFonts w:ascii="Cambria" w:hAnsi="Cambria"/>
          <w:bCs/>
          <w:sz w:val="20"/>
          <w:szCs w:val="20"/>
        </w:rPr>
      </w:pPr>
      <w:r w:rsidRPr="00784470">
        <w:rPr>
          <w:rFonts w:ascii="Cambria" w:hAnsi="Cambria"/>
          <w:bCs/>
          <w:sz w:val="20"/>
          <w:szCs w:val="20"/>
        </w:rPr>
        <w:t xml:space="preserve">Do zakresu </w:t>
      </w:r>
      <w:r w:rsidRPr="00784470">
        <w:rPr>
          <w:rFonts w:ascii="Cambria" w:hAnsi="Cambria"/>
          <w:b/>
          <w:bCs/>
          <w:sz w:val="20"/>
          <w:szCs w:val="20"/>
        </w:rPr>
        <w:t>dostawy i instalacji</w:t>
      </w:r>
      <w:r w:rsidRPr="00784470">
        <w:rPr>
          <w:rFonts w:ascii="Cambria" w:hAnsi="Cambria"/>
          <w:bCs/>
          <w:sz w:val="20"/>
          <w:szCs w:val="20"/>
        </w:rPr>
        <w:t xml:space="preserve"> związanej z modernizacją systemu oświetlenia drogowego należy: </w:t>
      </w:r>
    </w:p>
    <w:p w14:paraId="3FC8E4C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Demontaż opraw oświetleniowych wraz z wysięgnikami i montaż w ich miejsce nowych opraw energooszczędnych LED wraz z nowymi wysięgnikami</w:t>
      </w:r>
    </w:p>
    <w:p w14:paraId="21BAE2C7"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Wymiana przewodów nieizolowanych linii napowietrznej nn typu AL. zasilających oświetlenie uliczne na przewody zasilające typu AsXSn 2x35mm2 lub AsXSn 4x25mm2</w:t>
      </w:r>
    </w:p>
    <w:p w14:paraId="27826690"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Demontaż istniejących w szafie stacji transformatorowej układów sterowania oświetleniem i montaż nowych układów sterownia wraz z przeniesieniem układów pomiarowych</w:t>
      </w:r>
    </w:p>
    <w:p w14:paraId="6DA100E5"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Montaż ograniczników przepięć na sieci napowietrznej niskiego napięcia</w:t>
      </w:r>
    </w:p>
    <w:p w14:paraId="3CA1F5A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Przeprowadzenie badań, prób i pomiarów</w:t>
      </w:r>
    </w:p>
    <w:p w14:paraId="0011616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Dostawa i Montaż dwóch latarni zasilanych z odnawialnych źródeł energii (OZE) solarno-wiatrowych</w:t>
      </w:r>
    </w:p>
    <w:p w14:paraId="184D3227" w14:textId="41271DB7" w:rsidR="004E34A1" w:rsidRP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Dostawa i uruchomienie</w:t>
      </w:r>
      <w:r w:rsidRPr="00C86A2F">
        <w:rPr>
          <w:rFonts w:ascii="Cambria" w:hAnsi="Cambria"/>
          <w:bCs/>
          <w:color w:val="FF0000"/>
          <w:sz w:val="20"/>
          <w:szCs w:val="20"/>
        </w:rPr>
        <w:t xml:space="preserve"> </w:t>
      </w:r>
      <w:r w:rsidR="00AE2F23" w:rsidRPr="002577CE">
        <w:rPr>
          <w:rFonts w:ascii="Cambria" w:hAnsi="Cambria"/>
          <w:b/>
          <w:bCs/>
          <w:color w:val="FF0000"/>
          <w:sz w:val="20"/>
          <w:szCs w:val="20"/>
        </w:rPr>
        <w:t>Bezprzewodowego</w:t>
      </w:r>
      <w:r w:rsidR="00AE2F23" w:rsidRPr="00C86A2F">
        <w:rPr>
          <w:rFonts w:ascii="Cambria" w:hAnsi="Cambria"/>
          <w:bCs/>
          <w:color w:val="FF0000"/>
          <w:sz w:val="20"/>
          <w:szCs w:val="20"/>
        </w:rPr>
        <w:t xml:space="preserve"> </w:t>
      </w:r>
      <w:r w:rsidRPr="004E34A1">
        <w:rPr>
          <w:rFonts w:ascii="Cambria" w:hAnsi="Cambria"/>
          <w:bCs/>
          <w:sz w:val="20"/>
          <w:szCs w:val="20"/>
        </w:rPr>
        <w:t>Systemu Sterowania Oświetleniem</w:t>
      </w:r>
    </w:p>
    <w:p w14:paraId="6489B4D1" w14:textId="77777777" w:rsidR="004E34A1" w:rsidRDefault="004E34A1" w:rsidP="004E34A1">
      <w:pPr>
        <w:pStyle w:val="Akapitzlist"/>
        <w:spacing w:line="276" w:lineRule="auto"/>
        <w:ind w:left="0"/>
        <w:jc w:val="both"/>
        <w:rPr>
          <w:rFonts w:ascii="Cambria" w:hAnsi="Cambria"/>
          <w:bCs/>
          <w:sz w:val="20"/>
          <w:szCs w:val="20"/>
        </w:rPr>
      </w:pPr>
    </w:p>
    <w:p w14:paraId="11EAAE0A" w14:textId="77777777" w:rsidR="004E34A1" w:rsidRPr="00784470" w:rsidRDefault="004E34A1" w:rsidP="004E34A1">
      <w:pPr>
        <w:pStyle w:val="Akapitzlist"/>
        <w:spacing w:line="276" w:lineRule="auto"/>
        <w:ind w:left="0"/>
        <w:jc w:val="both"/>
        <w:rPr>
          <w:rFonts w:ascii="Cambria" w:hAnsi="Cambria"/>
          <w:b/>
          <w:bCs/>
          <w:sz w:val="20"/>
          <w:szCs w:val="20"/>
        </w:rPr>
      </w:pPr>
      <w:r w:rsidRPr="00784470">
        <w:rPr>
          <w:rFonts w:ascii="Cambria" w:hAnsi="Cambria"/>
          <w:b/>
          <w:bCs/>
          <w:sz w:val="20"/>
          <w:szCs w:val="20"/>
        </w:rPr>
        <w:t>Uwaga:</w:t>
      </w:r>
    </w:p>
    <w:p w14:paraId="73236FA0" w14:textId="75A2ED49" w:rsidR="004E34A1" w:rsidRPr="00784470" w:rsidRDefault="004E34A1" w:rsidP="004E34A1">
      <w:pPr>
        <w:pStyle w:val="Akapitzlist"/>
        <w:spacing w:line="276" w:lineRule="auto"/>
        <w:ind w:left="0"/>
        <w:jc w:val="both"/>
        <w:rPr>
          <w:rFonts w:ascii="Cambria" w:hAnsi="Cambria"/>
          <w:b/>
          <w:bCs/>
          <w:sz w:val="20"/>
          <w:szCs w:val="20"/>
        </w:rPr>
      </w:pPr>
      <w:r w:rsidRPr="00784470">
        <w:rPr>
          <w:rFonts w:ascii="Cambria" w:hAnsi="Cambria"/>
          <w:b/>
          <w:sz w:val="20"/>
          <w:szCs w:val="20"/>
        </w:rPr>
        <w:t xml:space="preserve">Wymagane jest zrealizowanie efektu ekologicznego poprzez: sumaryczna moc znamionowa dostarczonych opraw oświetleniowych musi mieścić się w  przedziale od 35 kW </w:t>
      </w:r>
      <w:r w:rsidR="007B0889" w:rsidRPr="00C86A2F">
        <w:rPr>
          <w:rFonts w:ascii="Cambria" w:hAnsi="Cambria"/>
          <w:b/>
          <w:color w:val="FF0000"/>
          <w:sz w:val="20"/>
          <w:szCs w:val="20"/>
        </w:rPr>
        <w:t>do</w:t>
      </w:r>
      <w:r w:rsidRPr="00C86A2F">
        <w:rPr>
          <w:rFonts w:ascii="Cambria" w:hAnsi="Cambria"/>
          <w:b/>
          <w:color w:val="FF0000"/>
          <w:sz w:val="20"/>
          <w:szCs w:val="20"/>
        </w:rPr>
        <w:t xml:space="preserve"> 43 kW </w:t>
      </w:r>
      <w:r w:rsidRPr="00784470">
        <w:rPr>
          <w:rFonts w:ascii="Cambria" w:hAnsi="Cambria"/>
          <w:b/>
          <w:sz w:val="20"/>
          <w:szCs w:val="20"/>
        </w:rPr>
        <w:t>oraz suma zużycia energii elektrycznej dla zmodernizowanego zakresu nie  może być większe niż 98 428,25 kWh w okresie 12 miesięcy działania systemu oświetleniowego przez  4150 godzin z zastosowaniem Bezprzewodowego Systemu Sterowania Oświetleniem</w:t>
      </w:r>
    </w:p>
    <w:p w14:paraId="2F60D518" w14:textId="380C91CA" w:rsidR="005650DF" w:rsidRPr="0094324B" w:rsidRDefault="005650DF" w:rsidP="004E34A1">
      <w:pPr>
        <w:spacing w:line="276" w:lineRule="auto"/>
        <w:ind w:left="426" w:hanging="426"/>
        <w:jc w:val="both"/>
        <w:rPr>
          <w:rFonts w:asciiTheme="majorHAnsi" w:hAnsiTheme="majorHAnsi"/>
          <w:bCs/>
          <w:sz w:val="20"/>
          <w:szCs w:val="20"/>
        </w:rPr>
      </w:pPr>
    </w:p>
    <w:p w14:paraId="3C4E34F7" w14:textId="739D392F" w:rsidR="00A10F24" w:rsidRDefault="00A10F24" w:rsidP="00A10F24">
      <w:pPr>
        <w:spacing w:line="276" w:lineRule="auto"/>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26600A2E"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Dokumentacja Projektowa – Projekt Wykonawczy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513486B4" w14:textId="53AD5ADE" w:rsidR="00E70F47" w:rsidRPr="00015625" w:rsidRDefault="00E70F47" w:rsidP="008D7867">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 xml:space="preserve">Załączony Projekt Wykonawczy zawiera wszystkie zadania uzgodnione z PGE Dystrybucja S.A. RE Staszów do realizacji, natomiast Zamawiający wymaga realizacji zadania zgodnie Projektem Wykonawczym </w:t>
      </w:r>
      <w:r w:rsidRPr="00015625">
        <w:rPr>
          <w:rFonts w:ascii="Cambria" w:hAnsi="Cambria" w:cs="Arial"/>
          <w:b/>
          <w:sz w:val="20"/>
          <w:szCs w:val="20"/>
        </w:rPr>
        <w:t>z wyłączeniem zadań opisanych w załącznikach do Projektu</w:t>
      </w:r>
      <w:r w:rsidRPr="00015625">
        <w:rPr>
          <w:rFonts w:ascii="Cambria" w:hAnsi="Cambria" w:cs="Arial"/>
          <w:sz w:val="20"/>
          <w:szCs w:val="20"/>
        </w:rPr>
        <w:t>:</w:t>
      </w:r>
    </w:p>
    <w:p w14:paraId="3C83DF53" w14:textId="21B58C95" w:rsidR="00E70F47" w:rsidRPr="00015625" w:rsidRDefault="00E70F47"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24 Malice Kościelne 2</w:t>
      </w:r>
    </w:p>
    <w:p w14:paraId="4CDEE241" w14:textId="4353EFCF"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25</w:t>
      </w:r>
      <w:r w:rsidR="00E70F47" w:rsidRPr="00015625">
        <w:rPr>
          <w:rFonts w:ascii="Cambria" w:hAnsi="Cambria" w:cs="Arial"/>
          <w:sz w:val="20"/>
          <w:szCs w:val="20"/>
        </w:rPr>
        <w:t xml:space="preserve"> Malice Kościelne 3</w:t>
      </w:r>
    </w:p>
    <w:p w14:paraId="19BC21FB" w14:textId="08B26D11"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35</w:t>
      </w:r>
      <w:r w:rsidR="00E70F47" w:rsidRPr="00015625">
        <w:rPr>
          <w:rFonts w:ascii="Cambria" w:hAnsi="Cambria" w:cs="Arial"/>
          <w:sz w:val="20"/>
          <w:szCs w:val="20"/>
        </w:rPr>
        <w:t xml:space="preserve"> Słabuszowice 6</w:t>
      </w:r>
    </w:p>
    <w:p w14:paraId="2E03CB30" w14:textId="4A194BD8"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36</w:t>
      </w:r>
      <w:r w:rsidR="00E70F47" w:rsidRPr="00015625">
        <w:rPr>
          <w:rFonts w:ascii="Cambria" w:hAnsi="Cambria" w:cs="Arial"/>
          <w:sz w:val="20"/>
          <w:szCs w:val="20"/>
        </w:rPr>
        <w:t xml:space="preserve"> Słabuszowice 4</w:t>
      </w:r>
    </w:p>
    <w:p w14:paraId="49DB8581" w14:textId="4388C3CE"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38</w:t>
      </w:r>
      <w:r w:rsidR="00E70F47" w:rsidRPr="00015625">
        <w:rPr>
          <w:rFonts w:ascii="Cambria" w:hAnsi="Cambria" w:cs="Arial"/>
          <w:sz w:val="20"/>
          <w:szCs w:val="20"/>
        </w:rPr>
        <w:t xml:space="preserve"> Słabuszowice 2</w:t>
      </w:r>
    </w:p>
    <w:p w14:paraId="018EB8A5" w14:textId="41E567BA" w:rsidR="008D7867" w:rsidRPr="00015625" w:rsidRDefault="00B37041" w:rsidP="00A618D0">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45</w:t>
      </w:r>
      <w:r w:rsidR="00E70F47" w:rsidRPr="00015625">
        <w:rPr>
          <w:rFonts w:ascii="Cambria" w:hAnsi="Cambria" w:cs="Arial"/>
          <w:sz w:val="20"/>
          <w:szCs w:val="20"/>
        </w:rPr>
        <w:t xml:space="preserve"> Swojków</w:t>
      </w:r>
      <w:r w:rsidR="008D7867" w:rsidRPr="00015625">
        <w:rPr>
          <w:rFonts w:ascii="Cambria" w:hAnsi="Cambria" w:cs="Arial"/>
          <w:sz w:val="20"/>
          <w:szCs w:val="20"/>
        </w:rPr>
        <w:t>.</w:t>
      </w:r>
    </w:p>
    <w:p w14:paraId="18C9253C" w14:textId="13EF5609" w:rsidR="00A618D0" w:rsidRDefault="00A618D0" w:rsidP="00A618D0">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lastRenderedPageBreak/>
        <w:t>Końcowe zestawienie zadań do realizacji zawiera załącznik do Projektu Wykonawczego:  Lipnik - tabela zbiorcza projektów - zmniejszony zakres do przetargu</w:t>
      </w:r>
      <w:r w:rsidR="001E3E54">
        <w:rPr>
          <w:rFonts w:ascii="Cambria" w:hAnsi="Cambria" w:cs="Arial"/>
          <w:sz w:val="20"/>
          <w:szCs w:val="20"/>
        </w:rPr>
        <w:t>.</w:t>
      </w:r>
    </w:p>
    <w:p w14:paraId="5FC444AD" w14:textId="3EDE739E" w:rsidR="001E3E54" w:rsidRDefault="001E3E54" w:rsidP="00A618D0">
      <w:pPr>
        <w:autoSpaceDE w:val="0"/>
        <w:autoSpaceDN w:val="0"/>
        <w:adjustRightInd w:val="0"/>
        <w:spacing w:line="276" w:lineRule="auto"/>
        <w:jc w:val="both"/>
        <w:rPr>
          <w:rFonts w:ascii="Cambria" w:hAnsi="Cambria" w:cs="Arial"/>
          <w:sz w:val="20"/>
          <w:szCs w:val="20"/>
        </w:rPr>
      </w:pPr>
    </w:p>
    <w:p w14:paraId="77064C70" w14:textId="62694122" w:rsidR="001E3E54" w:rsidRPr="001E3E54" w:rsidRDefault="001E3E54" w:rsidP="00A618D0">
      <w:pPr>
        <w:autoSpaceDE w:val="0"/>
        <w:autoSpaceDN w:val="0"/>
        <w:adjustRightInd w:val="0"/>
        <w:spacing w:line="276" w:lineRule="auto"/>
        <w:jc w:val="both"/>
        <w:rPr>
          <w:rFonts w:ascii="Cambria" w:hAnsi="Cambria" w:cs="Arial"/>
          <w:b/>
          <w:sz w:val="20"/>
          <w:szCs w:val="20"/>
        </w:rPr>
      </w:pPr>
      <w:r w:rsidRPr="001E3E54">
        <w:rPr>
          <w:rFonts w:ascii="Cambria" w:hAnsi="Cambria" w:cs="Arial"/>
          <w:b/>
          <w:sz w:val="20"/>
          <w:szCs w:val="20"/>
        </w:rPr>
        <w:t>Zadanie współfinansowane z Regionalnego programu operacyjnego województwa świętokrzyskiego na lata 2014–2020, w ramach RPO–WSL 2014-2020, w ramach działania 3.4. Strategia niskoemisyjna, wsparcie zrównoważonej multimodalnej mobilności miejskiej typ projektu „Modernizacja oświetlenia ulicznego na energooszczędne”</w:t>
      </w:r>
      <w:r>
        <w:rPr>
          <w:rFonts w:ascii="Cambria" w:hAnsi="Cambria" w:cs="Arial"/>
          <w:b/>
          <w:sz w:val="20"/>
          <w:szCs w:val="20"/>
        </w:rPr>
        <w:t>.</w:t>
      </w:r>
    </w:p>
    <w:p w14:paraId="7528B84C" w14:textId="77777777" w:rsidR="00B37041" w:rsidRDefault="00B37041" w:rsidP="00B37041">
      <w:pPr>
        <w:autoSpaceDE w:val="0"/>
        <w:autoSpaceDN w:val="0"/>
        <w:adjustRightInd w:val="0"/>
        <w:spacing w:line="276" w:lineRule="auto"/>
        <w:jc w:val="both"/>
        <w:rPr>
          <w:rFonts w:asciiTheme="majorHAnsi" w:hAnsiTheme="majorHAnsi"/>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CF4428E" w:rsidR="00BB4535" w:rsidRPr="00A519D7" w:rsidRDefault="009D729F"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65A1CB0D" w14:textId="1F6DAA86" w:rsidR="00D1799C" w:rsidRPr="00721201" w:rsidRDefault="00D1799C" w:rsidP="00045CC1">
      <w:pPr>
        <w:autoSpaceDE w:val="0"/>
        <w:autoSpaceDN w:val="0"/>
        <w:adjustRightInd w:val="0"/>
        <w:spacing w:line="276" w:lineRule="auto"/>
        <w:ind w:left="426"/>
        <w:jc w:val="both"/>
        <w:rPr>
          <w:rFonts w:asciiTheme="majorHAnsi" w:hAnsiTheme="majorHAnsi"/>
          <w:bCs/>
          <w:sz w:val="20"/>
          <w:szCs w:val="20"/>
        </w:rPr>
      </w:pPr>
      <w:r w:rsidRPr="00721201">
        <w:rPr>
          <w:rFonts w:ascii="Cambria" w:hAnsi="Cambria" w:cs="Arial"/>
          <w:sz w:val="20"/>
          <w:szCs w:val="20"/>
        </w:rPr>
        <w:t xml:space="preserve">Termin realizacji całości zadania </w:t>
      </w:r>
      <w:r w:rsidRPr="00721201">
        <w:rPr>
          <w:rFonts w:ascii="Cambria" w:hAnsi="Cambria"/>
          <w:sz w:val="20"/>
          <w:szCs w:val="20"/>
        </w:rPr>
        <w:t xml:space="preserve">do dnia </w:t>
      </w:r>
      <w:r w:rsidRPr="009D729F">
        <w:rPr>
          <w:rFonts w:ascii="Cambria" w:hAnsi="Cambria"/>
          <w:b/>
          <w:sz w:val="20"/>
          <w:szCs w:val="20"/>
        </w:rPr>
        <w:t>31.01.2022</w:t>
      </w:r>
      <w:r w:rsidR="009D729F">
        <w:rPr>
          <w:rFonts w:ascii="Cambria" w:hAnsi="Cambria"/>
          <w:b/>
          <w:sz w:val="20"/>
          <w:szCs w:val="20"/>
        </w:rPr>
        <w:t xml:space="preserve"> </w:t>
      </w:r>
      <w:r w:rsidRPr="009D729F">
        <w:rPr>
          <w:rFonts w:ascii="Cambria" w:hAnsi="Cambria"/>
          <w:b/>
          <w:sz w:val="20"/>
          <w:szCs w:val="20"/>
        </w:rPr>
        <w:t>r.</w:t>
      </w:r>
      <w:r w:rsidRPr="00721201">
        <w:rPr>
          <w:rFonts w:ascii="Cambria" w:hAnsi="Cambria"/>
          <w:sz w:val="20"/>
          <w:szCs w:val="20"/>
        </w:rPr>
        <w:t xml:space="preserve"> </w:t>
      </w:r>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1"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lastRenderedPageBreak/>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9C46F6" w:rsidP="00650479">
      <w:pPr>
        <w:spacing w:line="276" w:lineRule="auto"/>
        <w:ind w:left="1276"/>
      </w:pPr>
      <w:hyperlink r:id="rId13"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lastRenderedPageBreak/>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r w:rsidRPr="00650479">
        <w:rPr>
          <w:rFonts w:ascii="Cambria" w:hAnsi="Cambria" w:cs="Arial"/>
          <w:sz w:val="20"/>
          <w:szCs w:val="20"/>
        </w:rPr>
        <w:t xml:space="preserve">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w:t>
      </w:r>
      <w:r w:rsidRPr="00650479">
        <w:rPr>
          <w:rFonts w:ascii="Cambria" w:hAnsi="Cambria" w:cs="Arial"/>
          <w:sz w:val="20"/>
          <w:szCs w:val="20"/>
        </w:rPr>
        <w:lastRenderedPageBreak/>
        <w:t>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1"/>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62E13557"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2"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4753B3" w:rsidRPr="004753B3">
        <w:rPr>
          <w:rStyle w:val="Pogrubienie"/>
          <w:rFonts w:asciiTheme="majorHAnsi" w:hAnsiTheme="majorHAnsi" w:cs="Calibri"/>
          <w:sz w:val="20"/>
        </w:rPr>
        <w:t>5</w:t>
      </w:r>
      <w:r w:rsidR="00A817C9" w:rsidRPr="004753B3">
        <w:rPr>
          <w:rStyle w:val="Pogrubienie"/>
          <w:rFonts w:asciiTheme="majorHAnsi" w:hAnsiTheme="majorHAnsi" w:cs="Calibri"/>
          <w:sz w:val="20"/>
        </w:rPr>
        <w:t>00</w:t>
      </w:r>
      <w:r w:rsidR="00A25205" w:rsidRPr="004753B3">
        <w:rPr>
          <w:rStyle w:val="Pogrubienie"/>
          <w:rFonts w:asciiTheme="majorHAnsi" w:hAnsiTheme="majorHAnsi" w:cs="Calibri"/>
          <w:sz w:val="20"/>
        </w:rPr>
        <w:t xml:space="preserve"> punktów oświetleniowych</w:t>
      </w:r>
      <w:bookmarkEnd w:id="2"/>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A817C9" w:rsidRPr="004753B3">
        <w:rPr>
          <w:rStyle w:val="Pogrubienie"/>
          <w:rFonts w:asciiTheme="majorHAnsi" w:hAnsiTheme="majorHAnsi" w:cs="Calibri"/>
          <w:sz w:val="20"/>
        </w:rPr>
        <w:t xml:space="preserve">1 </w:t>
      </w:r>
      <w:r w:rsidR="004753B3" w:rsidRPr="004753B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E846DC">
        <w:rPr>
          <w:rStyle w:val="Pogrubienie"/>
          <w:rFonts w:asciiTheme="majorHAnsi" w:hAnsiTheme="majorHAnsi" w:cs="Calibri"/>
          <w:b w:val="0"/>
          <w:color w:val="000000"/>
          <w:sz w:val="20"/>
        </w:rPr>
        <w:t>5</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ykonawca osiągnął go w ramach sumowanie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77777777"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lastRenderedPageBreak/>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3DF37C7D"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Kierownik robót,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E846DC">
        <w:rPr>
          <w:rFonts w:ascii="Cambria" w:hAnsi="Cambria" w:cs="Cambria"/>
          <w:b/>
          <w:bCs/>
          <w:sz w:val="20"/>
          <w:szCs w:val="20"/>
        </w:rPr>
        <w:t>5</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717638CD"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E846DC" w:rsidRPr="00E846DC">
        <w:rPr>
          <w:rFonts w:ascii="Cambria" w:hAnsi="Cambria" w:cs="Arial"/>
          <w:b/>
          <w:sz w:val="20"/>
          <w:szCs w:val="20"/>
        </w:rPr>
        <w:t>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F2AFC30"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E846DC" w:rsidRPr="00E846DC">
        <w:rPr>
          <w:rFonts w:ascii="Cambria" w:hAnsi="Cambria" w:cs="Arial"/>
          <w:b/>
          <w:sz w:val="20"/>
          <w:szCs w:val="20"/>
        </w:rPr>
        <w:t>1 5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lastRenderedPageBreak/>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zawarł </w:t>
      </w:r>
      <w:r w:rsidR="007270CF" w:rsidRPr="00062E73">
        <w:rPr>
          <w:rFonts w:ascii="Cambria" w:hAnsi="Cambria" w:cs="Arial"/>
          <w:bCs/>
          <w:iCs/>
          <w:sz w:val="20"/>
          <w:szCs w:val="20"/>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62FA48D2"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w:t>
      </w:r>
      <w:r w:rsidR="009C4302">
        <w:rPr>
          <w:rFonts w:ascii="Cambria" w:hAnsi="Cambria" w:cs="Arial"/>
          <w:sz w:val="20"/>
          <w:szCs w:val="20"/>
        </w:rPr>
        <w:t>estrukturyzacyjne (t.j. Dz.U.2020</w:t>
      </w:r>
      <w:r w:rsidRPr="00307221">
        <w:rPr>
          <w:rFonts w:ascii="Cambria" w:hAnsi="Cambria" w:cs="Arial"/>
          <w:sz w:val="20"/>
          <w:szCs w:val="20"/>
        </w:rPr>
        <w:t xml:space="preserve"> poz. </w:t>
      </w:r>
      <w:r w:rsidR="009C4302">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9C4302">
        <w:rPr>
          <w:rFonts w:ascii="Cambria" w:hAnsi="Cambria" w:cs="Arial"/>
          <w:sz w:val="20"/>
          <w:szCs w:val="20"/>
        </w:rPr>
        <w:t>awo upadłościowe (t.j. Dz.U.2020</w:t>
      </w:r>
      <w:r w:rsidRPr="00307221">
        <w:rPr>
          <w:rFonts w:ascii="Cambria" w:hAnsi="Cambria" w:cs="Arial"/>
          <w:sz w:val="20"/>
          <w:szCs w:val="20"/>
        </w:rPr>
        <w:t xml:space="preserve"> r. poz. </w:t>
      </w:r>
      <w:r w:rsidR="009C4302">
        <w:rPr>
          <w:rFonts w:ascii="Cambria" w:hAnsi="Cambria" w:cs="Arial"/>
          <w:sz w:val="20"/>
          <w:szCs w:val="20"/>
        </w:rPr>
        <w:t>1228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29352" w14:textId="77777777" w:rsidR="00DC0CFB" w:rsidRDefault="00554B4B" w:rsidP="00DC0CFB">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lastRenderedPageBreak/>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531D7429" w14:textId="414EC258" w:rsidR="00554B4B" w:rsidRPr="00DC0CFB" w:rsidRDefault="00554B4B" w:rsidP="00DC0CFB">
      <w:pPr>
        <w:numPr>
          <w:ilvl w:val="0"/>
          <w:numId w:val="11"/>
        </w:numPr>
        <w:autoSpaceDE w:val="0"/>
        <w:autoSpaceDN w:val="0"/>
        <w:adjustRightInd w:val="0"/>
        <w:spacing w:line="276" w:lineRule="auto"/>
        <w:ind w:left="1418" w:hanging="284"/>
        <w:jc w:val="both"/>
        <w:rPr>
          <w:rFonts w:ascii="Cambria" w:hAnsi="Cambria" w:cs="Arial"/>
          <w:sz w:val="20"/>
          <w:szCs w:val="20"/>
        </w:rPr>
      </w:pPr>
      <w:r w:rsidRPr="00DC0CFB">
        <w:rPr>
          <w:rFonts w:ascii="Cambria" w:hAnsi="Cambria" w:cs="Arial"/>
          <w:sz w:val="20"/>
          <w:szCs w:val="20"/>
        </w:rPr>
        <w:t>Jeżeli w kraju, w którym wykonawca ma siedzibę lub miejsce zamieszkania lub w</w:t>
      </w:r>
      <w:r w:rsidR="00DC0CFB" w:rsidRPr="00DC0CFB">
        <w:rPr>
          <w:rFonts w:ascii="Cambria" w:hAnsi="Cambria" w:cs="Arial"/>
          <w:sz w:val="20"/>
          <w:szCs w:val="20"/>
        </w:rPr>
        <w:t xml:space="preserve"> </w:t>
      </w:r>
      <w:r w:rsidRPr="00DC0CFB">
        <w:rPr>
          <w:rFonts w:ascii="Cambria" w:hAnsi="Cambria" w:cs="Arial"/>
          <w:sz w:val="20"/>
          <w:szCs w:val="20"/>
        </w:rPr>
        <w:t>kraju, w którym miejsce zamieszkania mają osoby, których dotyczy dokument, wskazany nie wydaje się dokumentu, o których mowa w pkt. a)</w:t>
      </w:r>
      <w:r w:rsidR="005137D1" w:rsidRPr="00DC0CFB">
        <w:rPr>
          <w:rFonts w:ascii="Cambria" w:hAnsi="Cambria" w:cs="Arial"/>
          <w:sz w:val="20"/>
          <w:szCs w:val="20"/>
        </w:rPr>
        <w:t>, b), c)</w:t>
      </w:r>
      <w:r w:rsidRPr="00DC0CFB">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DC0CFB">
        <w:rPr>
          <w:rFonts w:ascii="Cambria" w:hAnsi="Cambria" w:cs="Arial"/>
          <w:sz w:val="20"/>
          <w:szCs w:val="20"/>
        </w:rPr>
        <w:t>d</w:t>
      </w:r>
      <w:r w:rsidRPr="00DC0CFB">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 pkt </w:t>
      </w:r>
      <w:r w:rsidR="00262C37">
        <w:rPr>
          <w:rFonts w:ascii="Cambria" w:hAnsi="Cambria" w:cs="Arial"/>
          <w:sz w:val="20"/>
          <w:szCs w:val="20"/>
        </w:rPr>
        <w:t>9.4.5</w:t>
      </w:r>
      <w:r w:rsidRPr="00062E73">
        <w:rPr>
          <w:rFonts w:ascii="Cambria" w:hAnsi="Cambria" w:cs="Arial"/>
          <w:sz w:val="20"/>
          <w:szCs w:val="20"/>
        </w:rPr>
        <w:t xml:space="preserve">. ppkt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3" w:name="_Hlk487876034"/>
      <w:r w:rsidRPr="00062E73">
        <w:rPr>
          <w:rFonts w:ascii="Cambria" w:hAnsi="Cambria" w:cs="Arial"/>
          <w:sz w:val="20"/>
          <w:szCs w:val="20"/>
        </w:rPr>
        <w:t>oświadczenie o przynależności lub braku przynależności do tej samej grupy kapitałowej</w:t>
      </w:r>
      <w:bookmarkEnd w:id="3"/>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lastRenderedPageBreak/>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379DF30B"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t>
      </w:r>
      <w:r w:rsidR="00DC0CFB">
        <w:rPr>
          <w:rFonts w:ascii="Cambria" w:hAnsi="Cambria" w:cs="Arial"/>
          <w:b/>
          <w:sz w:val="20"/>
          <w:szCs w:val="20"/>
        </w:rPr>
        <w:br/>
      </w:r>
      <w:r w:rsidR="00A449FE">
        <w:rPr>
          <w:rFonts w:ascii="Cambria" w:hAnsi="Cambria" w:cs="Arial"/>
          <w:b/>
          <w:sz w:val="20"/>
          <w:szCs w:val="20"/>
        </w:rPr>
        <w:t>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lastRenderedPageBreak/>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2577CE" w:rsidRPr="00062E73" w14:paraId="0E22B435"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341C4BB0" w14:textId="77777777" w:rsidR="002577CE" w:rsidRPr="002577CE" w:rsidRDefault="002577CE" w:rsidP="00FD6868">
            <w:pPr>
              <w:numPr>
                <w:ilvl w:val="0"/>
                <w:numId w:val="19"/>
              </w:numPr>
              <w:spacing w:before="40" w:after="40" w:line="276" w:lineRule="auto"/>
              <w:ind w:hanging="230"/>
              <w:jc w:val="both"/>
              <w:rPr>
                <w:rFonts w:ascii="Cambria" w:eastAsia="Batang" w:hAnsi="Cambria" w:cs="Arial"/>
                <w:color w:val="FF0000"/>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C907D46" w14:textId="2A03AD7A" w:rsidR="002577CE" w:rsidRPr="002577CE" w:rsidRDefault="002577CE" w:rsidP="00581E16">
            <w:pPr>
              <w:spacing w:before="40" w:after="40" w:line="276" w:lineRule="auto"/>
              <w:ind w:right="140"/>
              <w:jc w:val="both"/>
              <w:rPr>
                <w:rFonts w:ascii="Cambria" w:eastAsia="Batang" w:hAnsi="Cambria" w:cs="Arial"/>
                <w:b/>
                <w:color w:val="FF0000"/>
                <w:sz w:val="20"/>
                <w:szCs w:val="20"/>
              </w:rPr>
            </w:pPr>
            <w:r w:rsidRPr="002577CE">
              <w:rPr>
                <w:rFonts w:ascii="Cambria" w:eastAsia="Batang" w:hAnsi="Cambria" w:cs="Arial"/>
                <w:b/>
                <w:color w:val="FF0000"/>
                <w:sz w:val="20"/>
                <w:szCs w:val="20"/>
              </w:rPr>
              <w:t xml:space="preserve">W raz z ofertą należy złożyć obliczenia fotometryczne zgodnie z wymaganiami z SIWZ </w:t>
            </w:r>
            <w:r w:rsidR="004F2EE6">
              <w:rPr>
                <w:rFonts w:ascii="Cambria" w:eastAsia="Batang" w:hAnsi="Cambria" w:cs="Arial"/>
                <w:b/>
                <w:color w:val="FF0000"/>
                <w:sz w:val="20"/>
                <w:szCs w:val="20"/>
              </w:rPr>
              <w:br/>
            </w:r>
            <w:r w:rsidRPr="002577CE">
              <w:rPr>
                <w:rFonts w:ascii="Cambria" w:eastAsia="Batang" w:hAnsi="Cambria" w:cs="Arial"/>
                <w:b/>
                <w:color w:val="FF0000"/>
                <w:sz w:val="20"/>
                <w:szCs w:val="20"/>
              </w:rPr>
              <w:t>i załącznikiem 1a. W przypadku nie złożenia obliczeń fotometrycznych wraz z ofertą lub złożenia obliczeń fotometrycznych niezgodnych z wymaganiami SIWZ oferta nie podlega uzupełnieniu i zostanie odrzucona.</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w:t>
      </w:r>
      <w:r w:rsidR="003E7842" w:rsidRPr="00507F66">
        <w:rPr>
          <w:rFonts w:ascii="Cambria" w:hAnsi="Cambria" w:cs="Arial"/>
          <w:sz w:val="20"/>
          <w:szCs w:val="20"/>
          <w:lang w:bidi="pl-PL"/>
        </w:rPr>
        <w:lastRenderedPageBreak/>
        <w:t xml:space="preserve">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4" w:name="_Hlk528156367"/>
      <w:bookmarkStart w:id="5"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14.2 Zamawiający zaleca korzystanie z dedykowanych formularzy dedykowanych formularzy udostępnionych na miniPortalu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ePuap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4"/>
      <w:r w:rsidRPr="00C55572">
        <w:rPr>
          <w:rFonts w:ascii="Cambria" w:hAnsi="Cambria" w:cs="Arial"/>
          <w:sz w:val="20"/>
          <w:szCs w:val="20"/>
        </w:rPr>
        <w:tab/>
      </w:r>
    </w:p>
    <w:bookmarkEnd w:id="5"/>
    <w:p w14:paraId="2DCEB3E6" w14:textId="30701D71" w:rsidR="008426A1" w:rsidRDefault="00554B4B" w:rsidP="00FD6868">
      <w:pPr>
        <w:tabs>
          <w:tab w:val="left" w:pos="851"/>
          <w:tab w:val="left" w:pos="993"/>
        </w:tabs>
        <w:spacing w:after="120" w:line="276" w:lineRule="auto"/>
        <w:ind w:left="709"/>
        <w:jc w:val="both"/>
        <w:rPr>
          <w:rFonts w:ascii="Cambria" w:hAnsi="Cambria" w:cs="Arial"/>
          <w:sz w:val="20"/>
          <w:szCs w:val="20"/>
        </w:rPr>
      </w:pPr>
      <w:r w:rsidRPr="00C55572">
        <w:rPr>
          <w:rFonts w:ascii="Cambria" w:hAnsi="Cambria" w:cs="Arial"/>
          <w:sz w:val="20"/>
          <w:szCs w:val="20"/>
        </w:rPr>
        <w:tab/>
      </w:r>
    </w:p>
    <w:p w14:paraId="582647EC" w14:textId="77777777" w:rsidR="003F2310" w:rsidRPr="00C55572" w:rsidRDefault="003F2310" w:rsidP="00FD6868">
      <w:pPr>
        <w:tabs>
          <w:tab w:val="left" w:pos="851"/>
          <w:tab w:val="left" w:pos="993"/>
        </w:tabs>
        <w:spacing w:after="120" w:line="276" w:lineRule="auto"/>
        <w:ind w:left="709"/>
        <w:jc w:val="both"/>
        <w:rPr>
          <w:rFonts w:ascii="Cambria" w:hAnsi="Cambria" w:cs="Arial"/>
          <w:i/>
          <w:sz w:val="20"/>
          <w:szCs w:val="20"/>
        </w:rPr>
      </w:pP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lastRenderedPageBreak/>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694029EC"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E846DC" w:rsidRPr="00EA1CC6">
        <w:rPr>
          <w:rFonts w:ascii="Cambria" w:hAnsi="Cambria" w:cs="Arial"/>
          <w:sz w:val="20"/>
          <w:szCs w:val="20"/>
        </w:rPr>
        <w:t>Alojzy Jakóbik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194A5C56"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E846DC" w:rsidRPr="00E846DC">
        <w:rPr>
          <w:rFonts w:ascii="Cambria" w:hAnsi="Cambria" w:cs="Arial"/>
          <w:b/>
          <w:sz w:val="20"/>
          <w:szCs w:val="20"/>
        </w:rPr>
        <w:t>4</w:t>
      </w:r>
      <w:r w:rsidR="00A817C9" w:rsidRPr="00E846DC">
        <w:rPr>
          <w:rFonts w:ascii="Cambria" w:hAnsi="Cambria" w:cs="Arial"/>
          <w:b/>
          <w:sz w:val="20"/>
          <w:szCs w:val="20"/>
        </w:rPr>
        <w:t>0 000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E846DC">
        <w:rPr>
          <w:rFonts w:ascii="Cambria" w:hAnsi="Cambria" w:cs="Arial"/>
          <w:b/>
          <w:sz w:val="20"/>
          <w:szCs w:val="20"/>
        </w:rPr>
        <w:t xml:space="preserve">czterdzieści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1AA12CD9" w14:textId="5826E039" w:rsidR="00EA1CC6" w:rsidRDefault="00EA1CC6" w:rsidP="00581E16">
      <w:pPr>
        <w:spacing w:before="120" w:after="120" w:line="276" w:lineRule="auto"/>
        <w:jc w:val="center"/>
        <w:rPr>
          <w:rFonts w:ascii="Cambria" w:eastAsia="Calibri" w:hAnsi="Cambria" w:cs="Arial"/>
          <w:b/>
          <w:sz w:val="20"/>
          <w:szCs w:val="20"/>
        </w:rPr>
      </w:pPr>
      <w:r w:rsidRPr="00EA1CC6">
        <w:rPr>
          <w:rFonts w:ascii="Cambria" w:eastAsia="Calibri" w:hAnsi="Cambria" w:cs="Arial"/>
          <w:b/>
          <w:sz w:val="20"/>
          <w:szCs w:val="20"/>
        </w:rPr>
        <w:t xml:space="preserve">Bank </w:t>
      </w:r>
      <w:r w:rsidR="00753863">
        <w:rPr>
          <w:rFonts w:ascii="Cambria" w:eastAsia="Calibri" w:hAnsi="Cambria" w:cs="Arial"/>
          <w:b/>
          <w:sz w:val="20"/>
          <w:szCs w:val="20"/>
        </w:rPr>
        <w:t xml:space="preserve">Spółdzielczy w Tarnobrzegu </w:t>
      </w:r>
    </w:p>
    <w:p w14:paraId="2BDCFEC7" w14:textId="6674D2EE" w:rsidR="00753863" w:rsidRDefault="00753863" w:rsidP="00581E16">
      <w:pPr>
        <w:spacing w:before="120" w:after="120" w:line="276" w:lineRule="auto"/>
        <w:jc w:val="center"/>
        <w:rPr>
          <w:rFonts w:ascii="Cambria" w:eastAsia="Calibri" w:hAnsi="Cambria" w:cs="Arial"/>
          <w:b/>
          <w:sz w:val="20"/>
          <w:szCs w:val="20"/>
        </w:rPr>
      </w:pPr>
      <w:r>
        <w:rPr>
          <w:rFonts w:ascii="Cambria" w:eastAsia="Calibri" w:hAnsi="Cambria" w:cs="Arial"/>
          <w:b/>
          <w:sz w:val="20"/>
          <w:szCs w:val="20"/>
        </w:rPr>
        <w:t>Oddział Lipnik</w:t>
      </w:r>
    </w:p>
    <w:p w14:paraId="31859624" w14:textId="34CD82E4" w:rsidR="00BD0FA2" w:rsidRPr="000D3935" w:rsidRDefault="00BD0FA2"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 xml:space="preserve">Nr rachunku  </w:t>
      </w:r>
      <w:r w:rsidR="00753863">
        <w:rPr>
          <w:rFonts w:ascii="Cambria" w:eastAsia="Calibri" w:hAnsi="Cambria" w:cs="Arial"/>
          <w:b/>
          <w:sz w:val="20"/>
          <w:szCs w:val="20"/>
        </w:rPr>
        <w:t>22 9434 1041 2009 1902 8563 0012</w:t>
      </w:r>
    </w:p>
    <w:p w14:paraId="1367547C" w14:textId="77777777" w:rsidR="0018382C" w:rsidRDefault="009E6F9D"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z dopiskiem</w:t>
      </w:r>
      <w:r w:rsidR="00FC1838">
        <w:rPr>
          <w:rFonts w:ascii="Cambria" w:eastAsia="Calibri" w:hAnsi="Cambria" w:cs="Arial"/>
          <w:b/>
          <w:sz w:val="20"/>
          <w:szCs w:val="20"/>
        </w:rPr>
        <w:t xml:space="preserve"> „Wadium” i znak sprawy: </w:t>
      </w:r>
      <w:r w:rsidR="00753863">
        <w:rPr>
          <w:rFonts w:ascii="Cambria" w:eastAsia="Calibri" w:hAnsi="Cambria" w:cs="Arial"/>
          <w:b/>
          <w:sz w:val="20"/>
          <w:szCs w:val="20"/>
        </w:rPr>
        <w:t xml:space="preserve"> </w:t>
      </w:r>
    </w:p>
    <w:p w14:paraId="60DD622F" w14:textId="77777777" w:rsidR="0018382C" w:rsidRPr="00DC0CFB" w:rsidRDefault="0018382C" w:rsidP="0018382C">
      <w:pPr>
        <w:spacing w:line="276" w:lineRule="auto"/>
        <w:jc w:val="center"/>
        <w:rPr>
          <w:rFonts w:ascii="Cambria" w:hAnsi="Cambria" w:cs="Arial"/>
          <w:b/>
          <w:bCs/>
          <w:sz w:val="22"/>
        </w:rPr>
      </w:pPr>
      <w:r w:rsidRPr="00DC0CFB">
        <w:rPr>
          <w:rFonts w:ascii="Cambria" w:hAnsi="Cambria" w:cs="Arial"/>
          <w:b/>
          <w:bCs/>
          <w:sz w:val="22"/>
        </w:rPr>
        <w:t>„Kompleksowa modernizacja oświetlenia ulicznego na terenie Gminy Lipnik”</w:t>
      </w:r>
    </w:p>
    <w:p w14:paraId="2F0E442D" w14:textId="38E0B1BD" w:rsidR="0018382C" w:rsidRDefault="0018382C" w:rsidP="0018382C">
      <w:pPr>
        <w:spacing w:line="276" w:lineRule="auto"/>
        <w:jc w:val="center"/>
        <w:rPr>
          <w:rFonts w:ascii="Cambria" w:hAnsi="Cambria" w:cs="Arial"/>
          <w:b/>
          <w:bCs/>
        </w:rPr>
      </w:pPr>
      <w:r>
        <w:rPr>
          <w:rFonts w:ascii="Cambria" w:hAnsi="Cambria"/>
          <w:sz w:val="20"/>
          <w:szCs w:val="20"/>
        </w:rPr>
        <w:t xml:space="preserve">Znak  </w:t>
      </w:r>
      <w:r w:rsidR="00DC0CFB">
        <w:rPr>
          <w:rFonts w:ascii="Cambria" w:hAnsi="Cambria"/>
          <w:sz w:val="20"/>
          <w:szCs w:val="20"/>
        </w:rPr>
        <w:t>ZP.271.9</w:t>
      </w:r>
      <w:r w:rsidR="00BF6B9F" w:rsidRPr="00BF6B9F">
        <w:rPr>
          <w:rFonts w:ascii="Cambria" w:hAnsi="Cambria"/>
          <w:sz w:val="20"/>
          <w:szCs w:val="20"/>
        </w:rPr>
        <w:t>.2020</w:t>
      </w:r>
      <w:r w:rsidR="00BF6B9F">
        <w:rPr>
          <w:rFonts w:ascii="Cambria" w:hAnsi="Cambria"/>
          <w:sz w:val="20"/>
          <w:szCs w:val="20"/>
        </w:rPr>
        <w:t xml:space="preserve"> </w:t>
      </w:r>
    </w:p>
    <w:p w14:paraId="6CDDA995" w14:textId="72592495" w:rsidR="00BD0FA2" w:rsidRPr="00062E73" w:rsidRDefault="00BD0FA2" w:rsidP="00581E16">
      <w:pPr>
        <w:spacing w:before="120" w:after="120" w:line="276" w:lineRule="auto"/>
        <w:jc w:val="center"/>
        <w:rPr>
          <w:rFonts w:ascii="Cambria" w:eastAsia="Calibri" w:hAnsi="Cambria" w:cs="Arial"/>
          <w:b/>
          <w:sz w:val="20"/>
          <w:szCs w:val="20"/>
        </w:rPr>
      </w:pP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 xml:space="preserve">ykonawcy, którego oferta </w:t>
      </w:r>
      <w:r w:rsidRPr="00062E73">
        <w:rPr>
          <w:rFonts w:ascii="Cambria" w:hAnsi="Cambria" w:cs="Arial"/>
          <w:sz w:val="20"/>
          <w:szCs w:val="20"/>
        </w:rPr>
        <w:lastRenderedPageBreak/>
        <w:t>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FDE3D4D"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00BF6B9F">
        <w:rPr>
          <w:rFonts w:ascii="Cambria" w:hAnsi="Cambria" w:cs="Cambria"/>
          <w:b/>
          <w:sz w:val="20"/>
          <w:szCs w:val="20"/>
        </w:rPr>
        <w:t>w wysokości 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lastRenderedPageBreak/>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6"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.doc, .docx</w:t>
      </w:r>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lub pdf i podpisana kwalifikowanym podpisem elektronicznym. Sposób złożenia oferty, w tym zaszyfrowania oferty opisany został w Regulaminie korzystania z miniPortal.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6"/>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4E7686D7" w:rsidR="00554B4B" w:rsidRPr="00062E7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9774FE">
        <w:rPr>
          <w:rFonts w:ascii="Cambria" w:hAnsi="Cambria" w:cs="Arial"/>
          <w:sz w:val="20"/>
          <w:szCs w:val="20"/>
        </w:rPr>
        <w:t>należy złożyć w sposób opisany w pkt 19 SIWZ</w:t>
      </w:r>
      <w:r w:rsidR="009774FE" w:rsidRPr="009774FE">
        <w:rPr>
          <w:rFonts w:ascii="Cambria" w:hAnsi="Cambria" w:cs="Arial"/>
          <w:b/>
          <w:sz w:val="20"/>
          <w:szCs w:val="20"/>
        </w:rPr>
        <w:t xml:space="preserve"> </w:t>
      </w:r>
      <w:r w:rsidR="009774FE" w:rsidRPr="009774FE">
        <w:rPr>
          <w:rFonts w:ascii="Cambria" w:hAnsi="Cambria" w:cs="Arial"/>
          <w:sz w:val="20"/>
          <w:szCs w:val="20"/>
        </w:rPr>
        <w:t xml:space="preserve">w terminie do dnia </w:t>
      </w:r>
      <w:r w:rsidR="0065611F">
        <w:rPr>
          <w:rFonts w:ascii="Cambria" w:hAnsi="Cambria" w:cs="Arial"/>
          <w:b/>
          <w:bCs/>
          <w:sz w:val="20"/>
          <w:szCs w:val="20"/>
        </w:rPr>
        <w:t>21.12.</w:t>
      </w:r>
      <w:r w:rsidR="00FC1838" w:rsidRPr="0060568D">
        <w:rPr>
          <w:rFonts w:ascii="Cambria" w:hAnsi="Cambria" w:cs="Arial"/>
          <w:b/>
          <w:bCs/>
          <w:sz w:val="20"/>
          <w:szCs w:val="20"/>
        </w:rPr>
        <w:t>2020</w:t>
      </w:r>
      <w:r w:rsidR="009774FE" w:rsidRPr="0060568D">
        <w:rPr>
          <w:rFonts w:ascii="Cambria" w:hAnsi="Cambria" w:cs="Arial"/>
          <w:b/>
          <w:bCs/>
          <w:sz w:val="20"/>
          <w:szCs w:val="20"/>
        </w:rPr>
        <w:t xml:space="preserve"> r. </w:t>
      </w:r>
      <w:r w:rsidR="009774FE" w:rsidRPr="0060568D">
        <w:rPr>
          <w:rFonts w:ascii="Cambria" w:hAnsi="Cambria" w:cs="Arial"/>
          <w:sz w:val="20"/>
          <w:szCs w:val="20"/>
        </w:rPr>
        <w:t>do godz.</w:t>
      </w:r>
      <w:r w:rsidR="009774FE" w:rsidRPr="0060568D">
        <w:rPr>
          <w:rFonts w:ascii="Cambria" w:hAnsi="Cambria" w:cs="Arial"/>
          <w:b/>
          <w:sz w:val="20"/>
          <w:szCs w:val="20"/>
        </w:rPr>
        <w:t xml:space="preserve"> 10.00.</w:t>
      </w:r>
    </w:p>
    <w:p w14:paraId="00B3B351" w14:textId="77777777" w:rsidR="00554B4B" w:rsidRPr="00062E7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Pr>
          <w:rFonts w:ascii="Cambria" w:hAnsi="Cambria" w:cs="Arial"/>
          <w:b/>
          <w:bCs/>
          <w:sz w:val="20"/>
          <w:szCs w:val="20"/>
          <w:u w:val="single"/>
        </w:rPr>
        <w:t>T</w:t>
      </w:r>
      <w:r w:rsidR="00554B4B" w:rsidRPr="00062E73">
        <w:rPr>
          <w:rFonts w:ascii="Cambria" w:hAnsi="Cambria" w:cs="Arial"/>
          <w:b/>
          <w:bCs/>
          <w:sz w:val="20"/>
          <w:szCs w:val="20"/>
          <w:u w:val="single"/>
        </w:rPr>
        <w:t>ermin otwarcia ofert</w:t>
      </w:r>
    </w:p>
    <w:p w14:paraId="6005BD9D" w14:textId="4AA69C93" w:rsidR="00DA41AE" w:rsidRDefault="00AD2812" w:rsidP="00EA1CC6">
      <w:pPr>
        <w:pStyle w:val="Akapitzlist"/>
        <w:numPr>
          <w:ilvl w:val="1"/>
          <w:numId w:val="37"/>
        </w:numPr>
        <w:spacing w:after="120" w:line="276" w:lineRule="auto"/>
        <w:rPr>
          <w:rFonts w:ascii="Cambria" w:hAnsi="Cambria" w:cs="Arial"/>
          <w:sz w:val="20"/>
        </w:rPr>
      </w:pPr>
      <w:bookmarkStart w:id="7" w:name="_Hlk528584897"/>
      <w:r>
        <w:rPr>
          <w:rFonts w:ascii="Cambria" w:hAnsi="Cambria" w:cs="Arial"/>
          <w:sz w:val="20"/>
        </w:rPr>
        <w:t xml:space="preserve">Otwarcie ofert nastąpi w dniu </w:t>
      </w:r>
      <w:r w:rsidR="0065611F">
        <w:rPr>
          <w:rFonts w:ascii="Cambria" w:hAnsi="Cambria" w:cs="Arial"/>
          <w:b/>
          <w:sz w:val="20"/>
        </w:rPr>
        <w:t>21.12</w:t>
      </w:r>
      <w:r w:rsidR="0060568D" w:rsidRPr="0060568D">
        <w:rPr>
          <w:rFonts w:ascii="Cambria" w:hAnsi="Cambria" w:cs="Arial"/>
          <w:b/>
          <w:sz w:val="20"/>
        </w:rPr>
        <w:t>.</w:t>
      </w:r>
      <w:r w:rsidR="00DA41AE" w:rsidRPr="0060568D">
        <w:rPr>
          <w:rFonts w:ascii="Cambria" w:hAnsi="Cambria" w:cs="Arial"/>
          <w:b/>
          <w:sz w:val="20"/>
        </w:rPr>
        <w:t>2020</w:t>
      </w:r>
      <w:r w:rsidR="009774FE" w:rsidRPr="0060568D">
        <w:rPr>
          <w:rFonts w:ascii="Cambria" w:hAnsi="Cambria" w:cs="Arial"/>
          <w:b/>
          <w:sz w:val="20"/>
        </w:rPr>
        <w:t xml:space="preserve">  r., o godzinie </w:t>
      </w:r>
      <w:r w:rsidR="004D61A1" w:rsidRPr="0060568D">
        <w:rPr>
          <w:rFonts w:ascii="Cambria" w:hAnsi="Cambria" w:cs="Arial"/>
          <w:b/>
          <w:sz w:val="20"/>
        </w:rPr>
        <w:t>10:</w:t>
      </w:r>
      <w:r w:rsidR="00093DE3" w:rsidRPr="0060568D">
        <w:rPr>
          <w:rFonts w:ascii="Cambria" w:hAnsi="Cambria" w:cs="Arial"/>
          <w:b/>
          <w:sz w:val="20"/>
        </w:rPr>
        <w:t>30</w:t>
      </w:r>
      <w:r w:rsidR="009774FE" w:rsidRPr="002A6E96">
        <w:rPr>
          <w:rFonts w:ascii="Cambria" w:hAnsi="Cambria" w:cs="Arial"/>
          <w:sz w:val="20"/>
        </w:rPr>
        <w:t xml:space="preserve"> </w:t>
      </w:r>
      <w:r w:rsidR="00931E7C" w:rsidRPr="0084663A">
        <w:rPr>
          <w:rFonts w:ascii="Cambria" w:hAnsi="Cambria" w:cs="Arial"/>
          <w:sz w:val="20"/>
        </w:rPr>
        <w:t xml:space="preserve"> </w:t>
      </w:r>
      <w:r w:rsidR="00931E7C" w:rsidRPr="00931E7C">
        <w:rPr>
          <w:rFonts w:ascii="Cambria" w:hAnsi="Cambria" w:cs="Arial"/>
          <w:sz w:val="20"/>
        </w:rPr>
        <w:t xml:space="preserve">w siedzibie Zamawiającego: </w:t>
      </w:r>
      <w:r w:rsidR="0018382C">
        <w:rPr>
          <w:rFonts w:ascii="Cambria" w:hAnsi="Cambria" w:cs="Arial"/>
          <w:sz w:val="20"/>
        </w:rPr>
        <w:t xml:space="preserve"> </w:t>
      </w:r>
      <w:r w:rsidR="00EA1CC6" w:rsidRPr="00EA1CC6">
        <w:rPr>
          <w:rFonts w:ascii="Cambria" w:hAnsi="Cambria" w:cs="Arial"/>
          <w:sz w:val="20"/>
        </w:rPr>
        <w:t xml:space="preserve">Urząd Gminy w </w:t>
      </w:r>
      <w:r w:rsidR="0094324B">
        <w:rPr>
          <w:rFonts w:ascii="Cambria" w:hAnsi="Cambria" w:cs="Arial"/>
          <w:sz w:val="20"/>
        </w:rPr>
        <w:t>Lipniku</w:t>
      </w:r>
      <w:r w:rsidR="00EA1CC6" w:rsidRPr="00EA1CC6">
        <w:rPr>
          <w:rFonts w:ascii="Cambria" w:hAnsi="Cambria" w:cs="Arial"/>
          <w:sz w:val="20"/>
        </w:rPr>
        <w:t xml:space="preserve">, </w:t>
      </w:r>
      <w:r w:rsidR="0018382C">
        <w:rPr>
          <w:rFonts w:ascii="Cambria" w:hAnsi="Cambria" w:cs="Arial"/>
          <w:sz w:val="20"/>
        </w:rPr>
        <w:t xml:space="preserve"> Lipnik 20, 27 -540 Lipnik  20 sala narad nr 18 na parterze </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miniPortalu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7"/>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lastRenderedPageBreak/>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lastRenderedPageBreak/>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466554">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3A4433" w:rsidRPr="00D1799C" w14:paraId="3F0FF257"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7B69A5DC" w:rsidR="003A4433" w:rsidRPr="00D1799C" w:rsidRDefault="00E67C0A" w:rsidP="00BC71BB">
            <w:pPr>
              <w:spacing w:before="60" w:after="60" w:line="276" w:lineRule="auto"/>
              <w:jc w:val="both"/>
              <w:rPr>
                <w:rFonts w:asciiTheme="majorHAnsi" w:hAnsiTheme="majorHAnsi" w:cs="Arial"/>
                <w:b/>
                <w:bCs/>
                <w:color w:val="FF0000"/>
                <w:sz w:val="20"/>
                <w:szCs w:val="20"/>
              </w:rPr>
            </w:pPr>
            <w:r w:rsidRPr="00D1799C">
              <w:rPr>
                <w:rFonts w:asciiTheme="majorHAnsi" w:hAnsiTheme="majorHAnsi"/>
                <w:b/>
                <w:sz w:val="20"/>
              </w:rPr>
              <w:t>Wszystkie oferowane oprawy oświetleniowe spełniają grupę ryzyka fotobiologicznego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0FDA52CD"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CC33D1">
              <w:rPr>
                <w:rFonts w:asciiTheme="majorHAnsi" w:hAnsiTheme="majorHAnsi" w:cs="Arial"/>
                <w:b/>
                <w:bCs/>
                <w:sz w:val="20"/>
                <w:szCs w:val="20"/>
              </w:rPr>
              <w:t>0</w:t>
            </w:r>
            <w:r w:rsidR="003A4433" w:rsidRPr="00D1799C">
              <w:rPr>
                <w:rFonts w:asciiTheme="majorHAnsi" w:hAnsiTheme="majorHAnsi" w:cs="Arial"/>
                <w:b/>
                <w:bCs/>
                <w:sz w:val="20"/>
                <w:szCs w:val="20"/>
              </w:rPr>
              <w:t xml:space="preserve">% = </w:t>
            </w:r>
            <w:r w:rsidRPr="00D1799C">
              <w:rPr>
                <w:rFonts w:asciiTheme="majorHAnsi" w:hAnsiTheme="majorHAnsi" w:cs="Arial"/>
                <w:b/>
                <w:bCs/>
                <w:sz w:val="20"/>
                <w:szCs w:val="20"/>
              </w:rPr>
              <w:t>1</w:t>
            </w:r>
            <w:r w:rsidR="00CC33D1">
              <w:rPr>
                <w:rFonts w:asciiTheme="majorHAnsi" w:hAnsiTheme="majorHAnsi" w:cs="Arial"/>
                <w:b/>
                <w:bCs/>
                <w:sz w:val="20"/>
                <w:szCs w:val="20"/>
              </w:rPr>
              <w:t>0</w:t>
            </w:r>
            <w:r w:rsidR="003A4433" w:rsidRPr="00D1799C">
              <w:rPr>
                <w:rFonts w:asciiTheme="majorHAnsi" w:hAnsiTheme="majorHAnsi" w:cs="Arial"/>
                <w:b/>
                <w:bCs/>
                <w:sz w:val="20"/>
                <w:szCs w:val="20"/>
              </w:rPr>
              <w:t xml:space="preserve"> pkt.</w:t>
            </w:r>
          </w:p>
        </w:tc>
      </w:tr>
      <w:tr w:rsidR="003A4433" w:rsidRPr="00D1799C" w14:paraId="3F9CAA59"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5649A0C8" w:rsidR="003A4433" w:rsidRPr="00CC33D1" w:rsidRDefault="003A4433" w:rsidP="00466554">
            <w:pPr>
              <w:spacing w:before="60" w:after="60" w:line="276" w:lineRule="auto"/>
              <w:jc w:val="center"/>
              <w:rPr>
                <w:rFonts w:asciiTheme="majorHAnsi" w:hAnsiTheme="majorHAnsi" w:cs="Arial"/>
                <w:b/>
                <w:bCs/>
                <w:sz w:val="20"/>
                <w:szCs w:val="20"/>
              </w:rPr>
            </w:pPr>
            <w:r w:rsidRPr="00CC33D1">
              <w:rPr>
                <w:rFonts w:asciiTheme="majorHAnsi" w:hAnsiTheme="majorHAnsi" w:cs="Arial"/>
                <w:b/>
                <w:bCs/>
                <w:sz w:val="20"/>
                <w:szCs w:val="20"/>
              </w:rPr>
              <w:t>4</w:t>
            </w:r>
            <w:r w:rsidR="00BF3456" w:rsidRPr="00CC33D1">
              <w:rPr>
                <w:rFonts w:asciiTheme="majorHAnsi" w:hAnsiTheme="majorHAnsi" w:cs="Arial"/>
                <w:b/>
                <w:bCs/>
                <w:sz w:val="20"/>
                <w:szCs w:val="20"/>
              </w:rPr>
              <w:t>.</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017DAF00" w:rsidR="00CC33D1" w:rsidRPr="00C86A2F" w:rsidRDefault="00CC33D1" w:rsidP="00C86A2F">
            <w:pPr>
              <w:spacing w:before="60" w:after="60" w:line="276" w:lineRule="auto"/>
              <w:jc w:val="both"/>
              <w:rPr>
                <w:rFonts w:asciiTheme="majorHAnsi" w:hAnsiTheme="majorHAnsi" w:cs="Arial"/>
                <w:b/>
                <w:bCs/>
                <w:color w:val="FF0000"/>
                <w:sz w:val="20"/>
                <w:szCs w:val="20"/>
              </w:rPr>
            </w:pPr>
            <w:r w:rsidRPr="00C86A2F">
              <w:rPr>
                <w:rFonts w:asciiTheme="majorHAnsi" w:hAnsiTheme="majorHAnsi" w:cs="Arial"/>
                <w:b/>
                <w:bCs/>
                <w:color w:val="FF0000"/>
                <w:sz w:val="20"/>
                <w:szCs w:val="20"/>
              </w:rPr>
              <w:t xml:space="preserve">Dostarczenie i zainstalowanie opraw oświetleniowych od więcej niż jednego producenta opraw oświetleniowych, </w:t>
            </w:r>
            <w:r w:rsidR="00C86A2F" w:rsidRPr="00C86A2F">
              <w:rPr>
                <w:rFonts w:asciiTheme="majorHAnsi" w:hAnsiTheme="majorHAnsi" w:cs="Arial"/>
                <w:b/>
                <w:bCs/>
                <w:color w:val="FF0000"/>
                <w:sz w:val="20"/>
                <w:szCs w:val="20"/>
              </w:rPr>
              <w:br/>
            </w:r>
            <w:r w:rsidRPr="00C86A2F">
              <w:rPr>
                <w:rFonts w:asciiTheme="majorHAnsi" w:hAnsiTheme="majorHAnsi" w:cs="Arial"/>
                <w:b/>
                <w:bCs/>
                <w:color w:val="FF0000"/>
                <w:sz w:val="20"/>
                <w:szCs w:val="20"/>
              </w:rPr>
              <w:t>z podziałem ilości dostarczanych opraw na równe części od każdego producenta</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CC33D1" w:rsidRDefault="003A4433" w:rsidP="00466554">
            <w:pPr>
              <w:spacing w:before="60" w:after="60" w:line="276" w:lineRule="auto"/>
              <w:jc w:val="center"/>
              <w:rPr>
                <w:rFonts w:asciiTheme="majorHAnsi" w:hAnsiTheme="majorHAnsi" w:cs="Arial"/>
                <w:b/>
                <w:bCs/>
                <w:sz w:val="20"/>
                <w:szCs w:val="20"/>
              </w:rPr>
            </w:pPr>
            <w:r w:rsidRPr="00CC33D1">
              <w:rPr>
                <w:rFonts w:asciiTheme="majorHAnsi" w:hAnsiTheme="majorHAnsi" w:cs="Arial"/>
                <w:b/>
                <w:bCs/>
                <w:sz w:val="20"/>
                <w:szCs w:val="20"/>
              </w:rPr>
              <w:t>10% = 10 pkt</w:t>
            </w:r>
          </w:p>
        </w:tc>
      </w:tr>
      <w:tr w:rsidR="004F6BAB" w:rsidRPr="00D1799C" w14:paraId="2D4ADC6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783FEE7F"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5</w:t>
            </w:r>
          </w:p>
        </w:tc>
        <w:tc>
          <w:tcPr>
            <w:tcW w:w="5670" w:type="dxa"/>
            <w:tcBorders>
              <w:top w:val="double" w:sz="4" w:space="0" w:color="auto"/>
              <w:left w:val="double" w:sz="4" w:space="0" w:color="auto"/>
              <w:bottom w:val="double" w:sz="4" w:space="0" w:color="auto"/>
              <w:right w:val="double" w:sz="4" w:space="0" w:color="auto"/>
            </w:tcBorders>
            <w:vAlign w:val="center"/>
          </w:tcPr>
          <w:p w14:paraId="47AD79FE" w14:textId="091544E6" w:rsidR="006348D1" w:rsidRPr="00C86A2F" w:rsidRDefault="00C51C60" w:rsidP="00540BB0">
            <w:pPr>
              <w:spacing w:before="60" w:after="60" w:line="276" w:lineRule="auto"/>
              <w:rPr>
                <w:rFonts w:asciiTheme="majorHAnsi" w:hAnsiTheme="majorHAnsi"/>
                <w:b/>
                <w:bCs/>
                <w:color w:val="FF0000"/>
                <w:sz w:val="20"/>
              </w:rPr>
            </w:pPr>
            <w:r w:rsidRPr="002577CE">
              <w:rPr>
                <w:rFonts w:asciiTheme="majorHAnsi" w:hAnsiTheme="majorHAnsi" w:cs="Arial"/>
                <w:b/>
                <w:bCs/>
                <w:sz w:val="20"/>
                <w:szCs w:val="20"/>
              </w:rPr>
              <w:t xml:space="preserve">Dostarczenie i zainstalowanie </w:t>
            </w:r>
            <w:r w:rsidR="00540BB0" w:rsidRPr="002577CE">
              <w:rPr>
                <w:rFonts w:asciiTheme="majorHAnsi" w:hAnsiTheme="majorHAnsi" w:cs="Arial"/>
                <w:b/>
                <w:bCs/>
                <w:color w:val="FF0000"/>
                <w:sz w:val="20"/>
                <w:szCs w:val="20"/>
              </w:rPr>
              <w:t>Bezprzewodowego</w:t>
            </w:r>
            <w:r w:rsidRPr="002577CE">
              <w:rPr>
                <w:rFonts w:asciiTheme="majorHAnsi" w:hAnsiTheme="majorHAnsi" w:cs="Arial"/>
                <w:b/>
                <w:bCs/>
                <w:sz w:val="20"/>
                <w:szCs w:val="20"/>
              </w:rPr>
              <w:t xml:space="preserve"> Systemu Sterowania Oświetleniem wraz z </w:t>
            </w:r>
            <w:r w:rsidRPr="002577CE">
              <w:rPr>
                <w:rFonts w:asciiTheme="majorHAnsi" w:hAnsiTheme="majorHAnsi" w:cs="Arial"/>
                <w:b/>
                <w:sz w:val="20"/>
                <w:szCs w:val="20"/>
              </w:rPr>
              <w:t>otwartą</w:t>
            </w:r>
            <w:r w:rsidRPr="002577CE">
              <w:rPr>
                <w:rFonts w:asciiTheme="majorHAnsi" w:hAnsiTheme="majorHAnsi" w:cs="Arial"/>
                <w:sz w:val="20"/>
                <w:szCs w:val="20"/>
              </w:rPr>
              <w:t xml:space="preserve"> </w:t>
            </w:r>
            <w:r w:rsidRPr="002577CE">
              <w:rPr>
                <w:rFonts w:asciiTheme="majorHAnsi" w:hAnsiTheme="majorHAnsi" w:cs="Arial"/>
                <w:b/>
                <w:bCs/>
                <w:sz w:val="20"/>
                <w:szCs w:val="20"/>
              </w:rPr>
              <w:t>bezprzewodową siecią rozległą małej mocy (ang. LPWAN)</w:t>
            </w:r>
          </w:p>
        </w:tc>
        <w:tc>
          <w:tcPr>
            <w:tcW w:w="1559" w:type="dxa"/>
            <w:tcBorders>
              <w:top w:val="double" w:sz="4" w:space="0" w:color="auto"/>
              <w:left w:val="double" w:sz="4" w:space="0" w:color="auto"/>
              <w:bottom w:val="double" w:sz="4" w:space="0" w:color="auto"/>
              <w:right w:val="double" w:sz="4" w:space="0" w:color="auto"/>
            </w:tcBorders>
            <w:vAlign w:val="center"/>
          </w:tcPr>
          <w:p w14:paraId="652DE8DA" w14:textId="77A0C335" w:rsidR="006348D1" w:rsidRPr="00D1799C" w:rsidRDefault="00CC33D1" w:rsidP="00466554">
            <w:pPr>
              <w:spacing w:before="60" w:after="60" w:line="276" w:lineRule="auto"/>
              <w:jc w:val="center"/>
              <w:rPr>
                <w:rFonts w:asciiTheme="majorHAnsi" w:hAnsiTheme="majorHAnsi" w:cs="Arial"/>
                <w:b/>
                <w:bCs/>
                <w:sz w:val="20"/>
                <w:szCs w:val="20"/>
              </w:rPr>
            </w:pPr>
            <w:r w:rsidRPr="00CC33D1">
              <w:rPr>
                <w:rFonts w:asciiTheme="majorHAnsi" w:hAnsiTheme="majorHAnsi" w:cs="Arial"/>
                <w:b/>
                <w:bCs/>
                <w:sz w:val="20"/>
                <w:szCs w:val="20"/>
              </w:rPr>
              <w:t>10% = 10</w:t>
            </w:r>
            <w:r w:rsidR="006348D1" w:rsidRPr="00CC33D1">
              <w:rPr>
                <w:rFonts w:asciiTheme="majorHAnsi" w:hAnsiTheme="majorHAnsi" w:cs="Arial"/>
                <w:b/>
                <w:bCs/>
                <w:sz w:val="20"/>
                <w:szCs w:val="20"/>
              </w:rPr>
              <w:t xml:space="preserve">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8"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Liczba punktów = Cn/Cb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Cn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Cb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lastRenderedPageBreak/>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63B94FFC"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532FFF">
              <w:rPr>
                <w:rFonts w:ascii="Cambria" w:hAnsi="Cambria" w:cs="Arial"/>
                <w:sz w:val="20"/>
                <w:szCs w:val="20"/>
              </w:rPr>
              <w:t>5</w:t>
            </w:r>
            <w:r w:rsidRPr="002D0BD5">
              <w:rPr>
                <w:rFonts w:ascii="Cambria" w:hAnsi="Cambria" w:cs="Arial"/>
                <w:sz w:val="20"/>
                <w:szCs w:val="20"/>
              </w:rPr>
              <w:t xml:space="preserve"> pkt.</w:t>
            </w:r>
          </w:p>
          <w:p w14:paraId="038D88C9" w14:textId="0D22F1B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532FFF">
              <w:rPr>
                <w:rFonts w:ascii="Cambria" w:hAnsi="Cambria" w:cs="Arial"/>
                <w:sz w:val="20"/>
                <w:szCs w:val="20"/>
              </w:rPr>
              <w:t>10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77777777" w:rsidR="003A4433" w:rsidRPr="00062E73" w:rsidRDefault="003A4433" w:rsidP="00466554">
            <w:pPr>
              <w:spacing w:before="60" w:line="276" w:lineRule="auto"/>
              <w:jc w:val="center"/>
              <w:rPr>
                <w:rFonts w:ascii="Cambria" w:hAnsi="Cambria" w:cs="Arial"/>
                <w:bCs/>
                <w:sz w:val="20"/>
                <w:szCs w:val="20"/>
              </w:rPr>
            </w:pPr>
            <w:r>
              <w:rPr>
                <w:rFonts w:ascii="Cambria" w:hAnsi="Cambria" w:cs="Arial"/>
                <w:bCs/>
                <w:sz w:val="20"/>
                <w:szCs w:val="20"/>
              </w:rPr>
              <w:t>1</w:t>
            </w:r>
            <w:r w:rsidRPr="00062E73">
              <w:rPr>
                <w:rFonts w:ascii="Cambria" w:hAnsi="Cambria" w:cs="Arial"/>
                <w:bCs/>
                <w:sz w:val="20"/>
                <w:szCs w:val="20"/>
              </w:rPr>
              <w:t>0%</w:t>
            </w:r>
          </w:p>
        </w:tc>
        <w:tc>
          <w:tcPr>
            <w:tcW w:w="1709" w:type="dxa"/>
            <w:tcBorders>
              <w:left w:val="single" w:sz="4" w:space="0" w:color="auto"/>
            </w:tcBorders>
            <w:vAlign w:val="center"/>
          </w:tcPr>
          <w:p w14:paraId="2F216BD1" w14:textId="3FF87E9C" w:rsidR="003A4433" w:rsidRPr="00062E73" w:rsidRDefault="003A4433" w:rsidP="00466554">
            <w:pPr>
              <w:spacing w:line="276" w:lineRule="auto"/>
              <w:jc w:val="center"/>
              <w:rPr>
                <w:rFonts w:ascii="Cambria" w:hAnsi="Cambria" w:cs="Arial"/>
                <w:sz w:val="20"/>
                <w:szCs w:val="20"/>
              </w:rPr>
            </w:pPr>
            <w:r>
              <w:rPr>
                <w:rFonts w:ascii="Cambria" w:hAnsi="Cambria" w:cs="Arial"/>
                <w:sz w:val="20"/>
                <w:szCs w:val="20"/>
              </w:rPr>
              <w:t>1</w:t>
            </w:r>
            <w:r w:rsidRPr="00062E73">
              <w:rPr>
                <w:rFonts w:ascii="Cambria" w:hAnsi="Cambria" w:cs="Arial"/>
                <w:sz w:val="20"/>
                <w:szCs w:val="20"/>
              </w:rPr>
              <w:t>0</w:t>
            </w:r>
            <w:r w:rsidR="00C51C60">
              <w:rPr>
                <w:rFonts w:ascii="Cambria" w:hAnsi="Cambria" w:cs="Arial"/>
                <w:sz w:val="20"/>
                <w:szCs w:val="20"/>
              </w:rPr>
              <w:t xml:space="preserve"> </w:t>
            </w:r>
            <w:r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77777777" w:rsidR="00E67C0A"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Wszystkie oferowane oprawy oświetleniowe spełniają grupę ryzyka fotobiologicznego – 0 (RG0)</w:t>
            </w:r>
          </w:p>
          <w:p w14:paraId="3E3F0939" w14:textId="3D1E6B82"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Jeżeli oferowane oprawy oświetleniowe  spełniają grupę ryzyka fotobiologicznego – 0 (RG0) potwierdzone raportem z badań bezpieczeństwa fotobiologicznego, przeprowadzonego przez niezależne laboratorium badawcze na terenie Unii Europejskiej zgodnie z normą PN-EN 62471</w:t>
            </w:r>
            <w:r w:rsidR="00C70569">
              <w:rPr>
                <w:rFonts w:ascii="Cambria" w:hAnsi="Cambria" w:cs="Arial"/>
                <w:bCs/>
                <w:sz w:val="20"/>
                <w:szCs w:val="20"/>
              </w:rPr>
              <w:t>:2010</w:t>
            </w:r>
            <w:r w:rsidRPr="00D1799C">
              <w:rPr>
                <w:rFonts w:ascii="Cambria" w:hAnsi="Cambria" w:cs="Arial"/>
                <w:bCs/>
                <w:sz w:val="20"/>
                <w:szCs w:val="20"/>
              </w:rPr>
              <w:t xml:space="preserve">  to Wykonawca otrzyma 10 pkt.</w:t>
            </w:r>
          </w:p>
          <w:p w14:paraId="13519CBD"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Jeśli oprawy oświetleniowe nie spełniają grupę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08181446" w:rsidR="003A4433" w:rsidRPr="009923B3" w:rsidRDefault="006348D1" w:rsidP="00466554">
            <w:pPr>
              <w:spacing w:before="60" w:after="60" w:line="276" w:lineRule="auto"/>
              <w:jc w:val="center"/>
              <w:rPr>
                <w:rFonts w:ascii="Cambria" w:hAnsi="Cambria" w:cs="Arial"/>
                <w:bCs/>
                <w:sz w:val="20"/>
                <w:szCs w:val="20"/>
              </w:rPr>
            </w:pPr>
            <w:r w:rsidRPr="009923B3">
              <w:rPr>
                <w:rFonts w:ascii="Cambria" w:hAnsi="Cambria" w:cs="Arial"/>
                <w:bCs/>
                <w:sz w:val="20"/>
                <w:szCs w:val="20"/>
              </w:rPr>
              <w:t>1</w:t>
            </w:r>
            <w:r w:rsidR="009923B3">
              <w:rPr>
                <w:rFonts w:ascii="Cambria" w:hAnsi="Cambria" w:cs="Arial"/>
                <w:bCs/>
                <w:sz w:val="20"/>
                <w:szCs w:val="20"/>
              </w:rPr>
              <w:t>0</w:t>
            </w:r>
            <w:r w:rsidR="003A4433" w:rsidRPr="009923B3">
              <w:rPr>
                <w:rFonts w:ascii="Cambria" w:hAnsi="Cambria" w:cs="Arial"/>
                <w:bCs/>
                <w:sz w:val="20"/>
                <w:szCs w:val="20"/>
              </w:rPr>
              <w:t>%</w:t>
            </w:r>
          </w:p>
        </w:tc>
        <w:tc>
          <w:tcPr>
            <w:tcW w:w="1709" w:type="dxa"/>
            <w:tcBorders>
              <w:left w:val="single" w:sz="4" w:space="0" w:color="auto"/>
            </w:tcBorders>
            <w:vAlign w:val="center"/>
          </w:tcPr>
          <w:p w14:paraId="6A381609" w14:textId="7302C775" w:rsidR="003A4433" w:rsidRPr="009923B3" w:rsidRDefault="006348D1" w:rsidP="00466554">
            <w:pPr>
              <w:spacing w:line="276" w:lineRule="auto"/>
              <w:jc w:val="center"/>
              <w:rPr>
                <w:rFonts w:ascii="Cambria" w:hAnsi="Cambria" w:cs="Arial"/>
                <w:sz w:val="20"/>
                <w:szCs w:val="20"/>
              </w:rPr>
            </w:pPr>
            <w:r w:rsidRPr="009923B3">
              <w:rPr>
                <w:rFonts w:ascii="Cambria" w:hAnsi="Cambria" w:cs="Arial"/>
                <w:sz w:val="20"/>
                <w:szCs w:val="20"/>
              </w:rPr>
              <w:t>1</w:t>
            </w:r>
            <w:r w:rsidR="009923B3">
              <w:rPr>
                <w:rFonts w:ascii="Cambria" w:hAnsi="Cambria" w:cs="Arial"/>
                <w:sz w:val="20"/>
                <w:szCs w:val="20"/>
              </w:rPr>
              <w:t>0</w:t>
            </w:r>
            <w:r w:rsidR="003A4433" w:rsidRPr="009923B3">
              <w:rPr>
                <w:rFonts w:ascii="Cambria" w:hAnsi="Cambria" w:cs="Arial"/>
                <w:sz w:val="20"/>
                <w:szCs w:val="20"/>
              </w:rPr>
              <w:t xml:space="preserve">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5364C65" w:rsidR="003A4433" w:rsidRPr="009923B3" w:rsidRDefault="003A4433" w:rsidP="009923B3">
            <w:pPr>
              <w:spacing w:line="276" w:lineRule="auto"/>
              <w:ind w:left="72"/>
              <w:jc w:val="center"/>
              <w:rPr>
                <w:rFonts w:ascii="Cambria" w:hAnsi="Cambria" w:cs="Arial"/>
                <w:b/>
                <w:sz w:val="20"/>
                <w:szCs w:val="20"/>
              </w:rPr>
            </w:pPr>
            <w:r w:rsidRPr="009923B3">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5912676B" w14:textId="77777777" w:rsidR="009923B3" w:rsidRPr="00C86A2F" w:rsidRDefault="009923B3" w:rsidP="009923B3">
            <w:pPr>
              <w:jc w:val="both"/>
              <w:rPr>
                <w:rFonts w:ascii="Cambria" w:hAnsi="Cambria"/>
                <w:color w:val="FF0000"/>
                <w:sz w:val="20"/>
                <w:szCs w:val="20"/>
              </w:rPr>
            </w:pPr>
            <w:r w:rsidRPr="00C86A2F">
              <w:rPr>
                <w:rFonts w:ascii="Cambria" w:hAnsi="Cambria" w:cs="Arial"/>
                <w:b/>
                <w:bCs/>
                <w:color w:val="FF0000"/>
                <w:sz w:val="20"/>
                <w:szCs w:val="20"/>
              </w:rPr>
              <w:t>Dostarczenie i zainstalowanie opraw oświetleniowych od więcej niż jednego producenta opraw oświetleniowych</w:t>
            </w:r>
            <w:r w:rsidRPr="00C86A2F">
              <w:rPr>
                <w:rFonts w:ascii="Cambria" w:hAnsi="Cambria"/>
                <w:color w:val="FF0000"/>
                <w:sz w:val="20"/>
                <w:szCs w:val="20"/>
              </w:rPr>
              <w:t xml:space="preserve"> </w:t>
            </w:r>
            <w:r w:rsidRPr="00C86A2F">
              <w:rPr>
                <w:rFonts w:ascii="Cambria" w:hAnsi="Cambria" w:cs="Arial"/>
                <w:b/>
                <w:bCs/>
                <w:color w:val="FF0000"/>
                <w:sz w:val="20"/>
                <w:szCs w:val="20"/>
              </w:rPr>
              <w:t>z podziałem ilości dostarczanych opraw na równe części od każdego producenta</w:t>
            </w:r>
          </w:p>
          <w:p w14:paraId="321661F1" w14:textId="669528B8" w:rsidR="009923B3" w:rsidRPr="00C86A2F" w:rsidRDefault="009923B3" w:rsidP="009923B3">
            <w:pPr>
              <w:jc w:val="both"/>
              <w:rPr>
                <w:rFonts w:ascii="Cambria" w:hAnsi="Cambria"/>
                <w:color w:val="FF0000"/>
                <w:sz w:val="20"/>
                <w:szCs w:val="20"/>
              </w:rPr>
            </w:pPr>
            <w:r w:rsidRPr="00C86A2F">
              <w:rPr>
                <w:rFonts w:ascii="Cambria" w:hAnsi="Cambria"/>
                <w:color w:val="FF0000"/>
                <w:sz w:val="20"/>
                <w:szCs w:val="20"/>
              </w:rPr>
              <w:t xml:space="preserve">Jeżeli Wykonawca dostarczy i zainstaluje oprawy oświetleniowe </w:t>
            </w:r>
            <w:r w:rsidRPr="00C86A2F">
              <w:rPr>
                <w:rFonts w:ascii="Cambria" w:hAnsi="Cambria"/>
                <w:b/>
                <w:color w:val="FF0000"/>
                <w:sz w:val="20"/>
                <w:szCs w:val="20"/>
              </w:rPr>
              <w:t>od więcej niż jednego</w:t>
            </w:r>
            <w:r w:rsidRPr="00C86A2F">
              <w:rPr>
                <w:rFonts w:ascii="Cambria" w:hAnsi="Cambria"/>
                <w:color w:val="FF0000"/>
                <w:sz w:val="20"/>
                <w:szCs w:val="20"/>
              </w:rPr>
              <w:t xml:space="preserve"> </w:t>
            </w:r>
            <w:r w:rsidRPr="00C86A2F">
              <w:rPr>
                <w:rFonts w:ascii="Cambria" w:hAnsi="Cambria"/>
                <w:b/>
                <w:color w:val="FF0000"/>
                <w:sz w:val="20"/>
                <w:szCs w:val="20"/>
              </w:rPr>
              <w:t>producenta</w:t>
            </w:r>
            <w:r w:rsidRPr="00C86A2F">
              <w:rPr>
                <w:rFonts w:ascii="Cambria" w:hAnsi="Cambria"/>
                <w:color w:val="FF0000"/>
                <w:sz w:val="20"/>
                <w:szCs w:val="20"/>
              </w:rPr>
              <w:t xml:space="preserve"> opraw (producenci opraw nie mogą być powiązani kapitałowo)</w:t>
            </w:r>
            <w:r w:rsidRPr="00C86A2F">
              <w:rPr>
                <w:rFonts w:ascii="Cambria" w:hAnsi="Cambria" w:cs="Arial"/>
                <w:b/>
                <w:bCs/>
                <w:color w:val="FF0000"/>
                <w:sz w:val="20"/>
                <w:szCs w:val="20"/>
              </w:rPr>
              <w:t xml:space="preserve"> </w:t>
            </w:r>
            <w:r w:rsidRPr="00C86A2F">
              <w:rPr>
                <w:rFonts w:ascii="Cambria" w:hAnsi="Cambria" w:cs="Arial"/>
                <w:bCs/>
                <w:color w:val="FF0000"/>
                <w:sz w:val="20"/>
                <w:szCs w:val="20"/>
              </w:rPr>
              <w:t xml:space="preserve">z podziałem ilości dostarczanych opraw na równe części od każdego producenta z tolerancją ilości +/-10% </w:t>
            </w:r>
            <w:r w:rsidRPr="00C86A2F">
              <w:rPr>
                <w:rFonts w:ascii="Cambria" w:hAnsi="Cambria"/>
                <w:color w:val="FF0000"/>
                <w:sz w:val="20"/>
                <w:szCs w:val="20"/>
              </w:rPr>
              <w:t xml:space="preserve"> to Wykonawca otrzyma 10 pkt.</w:t>
            </w:r>
          </w:p>
          <w:p w14:paraId="1FB82DE0" w14:textId="77777777" w:rsidR="009923B3" w:rsidRPr="00C86A2F" w:rsidRDefault="009923B3" w:rsidP="009923B3">
            <w:pPr>
              <w:jc w:val="both"/>
              <w:rPr>
                <w:rFonts w:ascii="Cambria" w:hAnsi="Cambria"/>
                <w:color w:val="FF0000"/>
                <w:sz w:val="20"/>
                <w:szCs w:val="20"/>
              </w:rPr>
            </w:pPr>
            <w:r w:rsidRPr="00C86A2F">
              <w:rPr>
                <w:rFonts w:ascii="Cambria" w:hAnsi="Cambria"/>
                <w:color w:val="FF0000"/>
                <w:sz w:val="20"/>
                <w:szCs w:val="20"/>
              </w:rPr>
              <w:t>Podział dostawy opraw na więcej niż jednego producenta uzasadnione jest uniezależnieniem się Zamawiającego od jednego producenta opraw, co ma bezpośredni wpływ na dywersyfikację i rozłożenie ryzyka związanego z utrzymanie oświetlenia na terenie gminy oraz przeprowadzanymi w przyszłości naprawami gwarancyjnymi.</w:t>
            </w:r>
          </w:p>
          <w:p w14:paraId="77C49D40" w14:textId="3B58E7C6" w:rsidR="009923B3" w:rsidRPr="00C86A2F" w:rsidRDefault="009923B3" w:rsidP="009923B3">
            <w:pPr>
              <w:jc w:val="both"/>
              <w:rPr>
                <w:rFonts w:ascii="Cambria" w:hAnsi="Cambria" w:cs="Arial"/>
                <w:bCs/>
                <w:color w:val="FF0000"/>
                <w:sz w:val="20"/>
                <w:szCs w:val="20"/>
              </w:rPr>
            </w:pPr>
            <w:r w:rsidRPr="00C86A2F">
              <w:rPr>
                <w:rFonts w:ascii="Cambria" w:hAnsi="Cambria" w:cs="Arial"/>
                <w:bCs/>
                <w:color w:val="FF0000"/>
                <w:sz w:val="20"/>
                <w:szCs w:val="20"/>
              </w:rPr>
              <w:t>Przykładowo Wykonawca dostarczy oprawy oświetleniowe od dwóch różnych producentów opraw oświetleniowych, podział ilości będzie następujący: ilość opraw zamawianych 778 szt. podzielić na ilość producentów 2, stąd producent nr 1 –</w:t>
            </w:r>
            <w:r w:rsidR="00357859" w:rsidRPr="00C86A2F">
              <w:rPr>
                <w:rFonts w:ascii="Cambria" w:hAnsi="Cambria" w:cs="Arial"/>
                <w:bCs/>
                <w:color w:val="FF0000"/>
                <w:sz w:val="20"/>
                <w:szCs w:val="20"/>
              </w:rPr>
              <w:t xml:space="preserve"> </w:t>
            </w:r>
            <w:r w:rsidRPr="00C86A2F">
              <w:rPr>
                <w:rFonts w:ascii="Cambria" w:hAnsi="Cambria" w:cs="Arial"/>
                <w:bCs/>
                <w:color w:val="FF0000"/>
                <w:sz w:val="20"/>
                <w:szCs w:val="20"/>
              </w:rPr>
              <w:t xml:space="preserve">ilość opraw 389 sztuk,  producent nr 2 –  ilość opraw 389 sztuk.  </w:t>
            </w:r>
          </w:p>
          <w:p w14:paraId="4CD186E7" w14:textId="77777777" w:rsidR="009923B3" w:rsidRPr="00C86A2F" w:rsidRDefault="009923B3" w:rsidP="009923B3">
            <w:pPr>
              <w:jc w:val="both"/>
              <w:rPr>
                <w:rFonts w:ascii="Cambria" w:hAnsi="Cambria"/>
                <w:color w:val="FF0000"/>
                <w:sz w:val="20"/>
                <w:szCs w:val="20"/>
              </w:rPr>
            </w:pPr>
            <w:r w:rsidRPr="00C86A2F">
              <w:rPr>
                <w:rFonts w:ascii="Cambria" w:hAnsi="Cambria"/>
                <w:color w:val="FF0000"/>
                <w:sz w:val="20"/>
                <w:szCs w:val="20"/>
              </w:rPr>
              <w:t xml:space="preserve">Jeśli Wykonawca </w:t>
            </w:r>
            <w:r w:rsidRPr="00C86A2F">
              <w:rPr>
                <w:color w:val="FF0000"/>
              </w:rPr>
              <w:t xml:space="preserve"> </w:t>
            </w:r>
            <w:r w:rsidRPr="00C86A2F">
              <w:rPr>
                <w:rFonts w:ascii="Cambria" w:hAnsi="Cambria"/>
                <w:color w:val="FF0000"/>
                <w:sz w:val="20"/>
                <w:szCs w:val="20"/>
              </w:rPr>
              <w:t xml:space="preserve">dostarczy i zainstaluje oprawy oświetleniowe tylko od jednego producenta opraw oświetleniowych Wykonawca otrzyma </w:t>
            </w:r>
            <w:r w:rsidRPr="00C86A2F">
              <w:rPr>
                <w:rFonts w:ascii="Cambria" w:hAnsi="Cambria"/>
                <w:bCs/>
                <w:color w:val="FF0000"/>
                <w:sz w:val="20"/>
                <w:szCs w:val="20"/>
              </w:rPr>
              <w:t>0 pkt.</w:t>
            </w:r>
          </w:p>
          <w:p w14:paraId="729957FF" w14:textId="77777777" w:rsidR="0032027B" w:rsidRPr="00C86A2F" w:rsidRDefault="0032027B" w:rsidP="0016569A">
            <w:pPr>
              <w:jc w:val="both"/>
              <w:rPr>
                <w:rFonts w:ascii="Cambria" w:hAnsi="Cambria"/>
                <w:strike/>
                <w:color w:val="FF0000"/>
                <w:sz w:val="20"/>
              </w:rPr>
            </w:pPr>
          </w:p>
          <w:p w14:paraId="34DC31E6" w14:textId="77777777" w:rsidR="003A4433" w:rsidRPr="009923B3" w:rsidRDefault="003A4433" w:rsidP="00D65BE4">
            <w:pPr>
              <w:jc w:val="both"/>
              <w:rPr>
                <w:rFonts w:ascii="Cambria" w:hAnsi="Cambria"/>
                <w:sz w:val="22"/>
                <w:szCs w:val="22"/>
              </w:rPr>
            </w:pPr>
            <w:r w:rsidRPr="00C86A2F">
              <w:rPr>
                <w:rFonts w:ascii="Cambria" w:hAnsi="Cambria"/>
                <w:b/>
                <w:color w:val="FF0000"/>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C86A2F" w:rsidRDefault="003A4433" w:rsidP="00466554">
            <w:pPr>
              <w:spacing w:before="60" w:after="60" w:line="276" w:lineRule="auto"/>
              <w:jc w:val="center"/>
              <w:rPr>
                <w:rFonts w:ascii="Cambria" w:hAnsi="Cambria" w:cs="Arial"/>
                <w:bCs/>
                <w:color w:val="FF0000"/>
                <w:sz w:val="20"/>
                <w:szCs w:val="20"/>
              </w:rPr>
            </w:pPr>
            <w:r w:rsidRPr="00C86A2F">
              <w:rPr>
                <w:rFonts w:ascii="Cambria" w:hAnsi="Cambria" w:cs="Arial"/>
                <w:bCs/>
                <w:color w:val="FF0000"/>
                <w:sz w:val="20"/>
                <w:szCs w:val="20"/>
              </w:rPr>
              <w:t>10%</w:t>
            </w:r>
          </w:p>
        </w:tc>
        <w:tc>
          <w:tcPr>
            <w:tcW w:w="1709" w:type="dxa"/>
            <w:tcBorders>
              <w:left w:val="single" w:sz="4" w:space="0" w:color="auto"/>
            </w:tcBorders>
            <w:vAlign w:val="center"/>
          </w:tcPr>
          <w:p w14:paraId="20734519" w14:textId="3B1DFAD1" w:rsidR="003A4433" w:rsidRPr="00C86A2F" w:rsidRDefault="003A4433" w:rsidP="00466554">
            <w:pPr>
              <w:spacing w:line="276" w:lineRule="auto"/>
              <w:jc w:val="center"/>
              <w:rPr>
                <w:rFonts w:ascii="Cambria" w:hAnsi="Cambria" w:cs="Arial"/>
                <w:color w:val="FF0000"/>
                <w:sz w:val="20"/>
                <w:szCs w:val="20"/>
              </w:rPr>
            </w:pPr>
            <w:r w:rsidRPr="00C86A2F">
              <w:rPr>
                <w:rFonts w:ascii="Cambria" w:hAnsi="Cambria" w:cs="Arial"/>
                <w:color w:val="FF0000"/>
                <w:sz w:val="20"/>
                <w:szCs w:val="20"/>
              </w:rPr>
              <w:t>10</w:t>
            </w:r>
            <w:r w:rsidR="00C51C60" w:rsidRPr="00C86A2F">
              <w:rPr>
                <w:rFonts w:ascii="Cambria" w:hAnsi="Cambria" w:cs="Arial"/>
                <w:color w:val="FF0000"/>
                <w:sz w:val="20"/>
                <w:szCs w:val="20"/>
              </w:rPr>
              <w:t xml:space="preserve"> </w:t>
            </w:r>
            <w:r w:rsidRPr="00C86A2F">
              <w:rPr>
                <w:rFonts w:ascii="Cambria" w:hAnsi="Cambria" w:cs="Arial"/>
                <w:color w:val="FF0000"/>
                <w:sz w:val="20"/>
                <w:szCs w:val="20"/>
              </w:rPr>
              <w:t>pkt</w:t>
            </w:r>
          </w:p>
        </w:tc>
      </w:tr>
      <w:tr w:rsidR="006348D1" w:rsidRPr="003175D5" w14:paraId="5A7BD933" w14:textId="77777777" w:rsidTr="008E4B70">
        <w:trPr>
          <w:trHeight w:val="416"/>
        </w:trPr>
        <w:tc>
          <w:tcPr>
            <w:tcW w:w="445" w:type="dxa"/>
            <w:tcBorders>
              <w:right w:val="single" w:sz="4" w:space="0" w:color="auto"/>
            </w:tcBorders>
            <w:vAlign w:val="center"/>
          </w:tcPr>
          <w:p w14:paraId="75AF9A9C" w14:textId="544A4E36" w:rsidR="006348D1" w:rsidRPr="00D1799C" w:rsidRDefault="004F6BAB" w:rsidP="006348D1">
            <w:pPr>
              <w:spacing w:line="276" w:lineRule="auto"/>
              <w:ind w:left="72"/>
              <w:jc w:val="center"/>
              <w:rPr>
                <w:rFonts w:ascii="Cambria" w:hAnsi="Cambria" w:cs="Arial"/>
                <w:b/>
                <w:sz w:val="20"/>
                <w:szCs w:val="20"/>
              </w:rPr>
            </w:pPr>
            <w:r w:rsidRPr="00D1799C">
              <w:rPr>
                <w:rFonts w:ascii="Cambria" w:hAnsi="Cambria" w:cs="Arial"/>
                <w:b/>
                <w:sz w:val="20"/>
                <w:szCs w:val="20"/>
              </w:rPr>
              <w:t>5</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49B2A882" w14:textId="2ED5AE7C" w:rsidR="00C51C60" w:rsidRPr="00D1799C" w:rsidRDefault="00C51C60" w:rsidP="00C51C60">
            <w:pPr>
              <w:spacing w:line="276" w:lineRule="auto"/>
              <w:jc w:val="both"/>
              <w:rPr>
                <w:rFonts w:ascii="Cambria" w:hAnsi="Cambria" w:cs="Arial"/>
                <w:sz w:val="20"/>
                <w:szCs w:val="20"/>
              </w:rPr>
            </w:pPr>
            <w:r w:rsidRPr="00D1799C">
              <w:rPr>
                <w:rFonts w:ascii="Cambria" w:hAnsi="Cambria" w:cs="Arial"/>
                <w:sz w:val="20"/>
                <w:szCs w:val="20"/>
              </w:rPr>
              <w:t>Za</w:t>
            </w:r>
            <w:r w:rsidRPr="00D1799C">
              <w:rPr>
                <w:rFonts w:ascii="Cambria" w:hAnsi="Cambria" w:cs="Arial"/>
                <w:b/>
                <w:sz w:val="20"/>
                <w:szCs w:val="20"/>
              </w:rPr>
              <w:t xml:space="preserve"> </w:t>
            </w:r>
            <w:r w:rsidRPr="00D1799C">
              <w:rPr>
                <w:rFonts w:ascii="Cambria" w:hAnsi="Cambria" w:cs="Arial"/>
                <w:sz w:val="20"/>
                <w:szCs w:val="20"/>
              </w:rPr>
              <w:t>dostarczenie i zainstalowanie</w:t>
            </w:r>
            <w:r w:rsidR="00540BB0">
              <w:t xml:space="preserve"> </w:t>
            </w:r>
            <w:r w:rsidR="00540BB0" w:rsidRPr="002577CE">
              <w:rPr>
                <w:rFonts w:ascii="Cambria" w:hAnsi="Cambria" w:cs="Arial"/>
                <w:b/>
                <w:color w:val="FF0000"/>
                <w:sz w:val="20"/>
                <w:szCs w:val="20"/>
              </w:rPr>
              <w:t>Bezprzewodowego</w:t>
            </w:r>
            <w:r w:rsidR="00540BB0" w:rsidRPr="00540BB0">
              <w:rPr>
                <w:rFonts w:ascii="Cambria" w:hAnsi="Cambria" w:cs="Arial"/>
                <w:sz w:val="20"/>
                <w:szCs w:val="20"/>
              </w:rPr>
              <w:t xml:space="preserve"> </w:t>
            </w:r>
            <w:r w:rsidRPr="00D1799C">
              <w:rPr>
                <w:rFonts w:ascii="Cambria" w:hAnsi="Cambria" w:cs="Arial"/>
                <w:sz w:val="20"/>
                <w:szCs w:val="20"/>
              </w:rPr>
              <w:t xml:space="preserve">Systemu Sterowania Oświetleniem wraz z otwartą </w:t>
            </w:r>
            <w:r w:rsidRPr="00D1799C">
              <w:rPr>
                <w:rFonts w:ascii="Cambria" w:hAnsi="Cambria" w:cs="Arial"/>
                <w:sz w:val="20"/>
                <w:szCs w:val="20"/>
              </w:rPr>
              <w:lastRenderedPageBreak/>
              <w:t>bezprzewodową siecią rozległą małej mocy (ang. LPWAN)</w:t>
            </w:r>
            <w:r w:rsidRPr="00D1799C">
              <w:rPr>
                <w:rFonts w:ascii="Cambria" w:hAnsi="Cambria" w:cs="Arial"/>
                <w:b/>
                <w:sz w:val="20"/>
                <w:szCs w:val="20"/>
              </w:rPr>
              <w:t xml:space="preserve"> </w:t>
            </w:r>
            <w:r w:rsidRPr="00D1799C">
              <w:rPr>
                <w:rFonts w:ascii="Cambria" w:hAnsi="Cambria" w:cs="Arial"/>
                <w:sz w:val="20"/>
                <w:szCs w:val="20"/>
              </w:rPr>
              <w:t xml:space="preserve">działającej w paśmie publicznym (bezpłatnym i nielicencjonowanym) Wykonawca otrzyma 10 pkt. </w:t>
            </w:r>
          </w:p>
          <w:p w14:paraId="65F76D19" w14:textId="11A8B2E0"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Wykonawca dostarczy i uruchomi otwartą bezprzewodową siecią rozległą małej mocy wraz z kompletną dokumentacją techniczną dostarczonej sieci zawierającej w szczególności specyfikację protokołu komunikacyjnego wraz z kluczami szyfrującymi do przesyłania danych pomiędzy Oprogramowaniem  Zarządzającym a zainstalowanymi </w:t>
            </w:r>
            <w:r w:rsidR="0081150B" w:rsidRPr="00D1799C">
              <w:rPr>
                <w:rFonts w:ascii="Cambria" w:hAnsi="Cambria" w:cs="Arial"/>
                <w:b/>
                <w:sz w:val="20"/>
                <w:szCs w:val="20"/>
              </w:rPr>
              <w:t xml:space="preserve"> sterownikami </w:t>
            </w:r>
            <w:r w:rsidRPr="00D1799C">
              <w:rPr>
                <w:rFonts w:ascii="Cambria" w:hAnsi="Cambria" w:cs="Arial"/>
                <w:b/>
                <w:sz w:val="20"/>
                <w:szCs w:val="20"/>
              </w:rPr>
              <w:t>w oprawach.</w:t>
            </w:r>
          </w:p>
          <w:p w14:paraId="60214B2C" w14:textId="7DC709F4"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Dostarczona i zainstalowana sieć </w:t>
            </w:r>
            <w:r w:rsidR="0081150B" w:rsidRPr="00D1799C">
              <w:rPr>
                <w:rFonts w:ascii="Cambria" w:hAnsi="Cambria" w:cs="Arial"/>
                <w:b/>
                <w:sz w:val="20"/>
                <w:szCs w:val="20"/>
              </w:rPr>
              <w:t>rozległa</w:t>
            </w:r>
            <w:r w:rsidRPr="00D1799C">
              <w:rPr>
                <w:rFonts w:ascii="Cambria" w:hAnsi="Cambria" w:cs="Arial"/>
                <w:b/>
                <w:sz w:val="20"/>
                <w:szCs w:val="20"/>
              </w:rPr>
              <w:t xml:space="preserve"> małej mocy nie może być obciążona żadnymi dodatkowymi kosztami związanymi z opłatami licencyjnymi w czasie udzielonej przez Wykonawcę gwarancji, jak również po jej zakończeniu. </w:t>
            </w:r>
          </w:p>
          <w:p w14:paraId="784DB0D2" w14:textId="587CA3E4" w:rsidR="00C51C60" w:rsidRPr="00D1799C" w:rsidRDefault="00C51C60" w:rsidP="00C51C60">
            <w:pPr>
              <w:spacing w:line="276" w:lineRule="auto"/>
              <w:jc w:val="both"/>
              <w:rPr>
                <w:rFonts w:ascii="Cambria" w:hAnsi="Cambria" w:cs="Arial"/>
                <w:b/>
                <w:sz w:val="20"/>
                <w:szCs w:val="20"/>
              </w:rPr>
            </w:pPr>
            <w:r w:rsidRPr="00D1799C">
              <w:rPr>
                <w:rFonts w:ascii="Cambria" w:hAnsi="Cambria"/>
                <w:sz w:val="20"/>
              </w:rPr>
              <w:t>Jeśli</w:t>
            </w:r>
            <w:r w:rsidRPr="00D1799C">
              <w:t xml:space="preserve"> </w:t>
            </w:r>
            <w:r w:rsidR="00540BB0">
              <w:t xml:space="preserve"> </w:t>
            </w:r>
            <w:r w:rsidR="00540BB0" w:rsidRPr="002577CE">
              <w:rPr>
                <w:rFonts w:ascii="Cambria" w:hAnsi="Cambria" w:cs="Arial"/>
                <w:b/>
                <w:color w:val="FF0000"/>
                <w:sz w:val="20"/>
                <w:szCs w:val="20"/>
              </w:rPr>
              <w:t>Bezprzewodowy</w:t>
            </w:r>
            <w:r w:rsidR="00540BB0">
              <w:rPr>
                <w:rFonts w:ascii="Cambria" w:hAnsi="Cambria" w:cs="Arial"/>
                <w:sz w:val="20"/>
                <w:szCs w:val="20"/>
              </w:rPr>
              <w:t xml:space="preserve"> </w:t>
            </w:r>
            <w:r w:rsidRPr="00D1799C">
              <w:rPr>
                <w:rFonts w:ascii="Cambria" w:hAnsi="Cambria" w:cs="Arial"/>
                <w:sz w:val="20"/>
                <w:szCs w:val="20"/>
              </w:rPr>
              <w:t xml:space="preserve">System Sterowania Oświetleniem </w:t>
            </w:r>
            <w:r w:rsidRPr="00D1799C">
              <w:rPr>
                <w:rFonts w:ascii="Cambria" w:hAnsi="Cambria" w:cs="Arial"/>
                <w:b/>
                <w:sz w:val="20"/>
                <w:szCs w:val="20"/>
              </w:rPr>
              <w:t>nie będzie</w:t>
            </w:r>
            <w:r w:rsidRPr="00D1799C">
              <w:rPr>
                <w:rFonts w:ascii="Cambria" w:hAnsi="Cambria" w:cs="Arial"/>
                <w:sz w:val="20"/>
                <w:szCs w:val="20"/>
              </w:rPr>
              <w:t xml:space="preserve"> dostarczony z otwartą bezprzewodową siecią rozległą małej mocy (ang. LPWAN)</w:t>
            </w:r>
            <w:r w:rsidRPr="00D1799C">
              <w:rPr>
                <w:rFonts w:ascii="Cambria" w:hAnsi="Cambria" w:cs="Arial"/>
                <w:b/>
                <w:sz w:val="20"/>
                <w:szCs w:val="20"/>
              </w:rPr>
              <w:t xml:space="preserve"> </w:t>
            </w:r>
            <w:r w:rsidRPr="00D1799C">
              <w:rPr>
                <w:rFonts w:ascii="Cambria" w:hAnsi="Cambria"/>
                <w:sz w:val="20"/>
              </w:rPr>
              <w:t>Wykonawca otrzyma   0 pkt.</w:t>
            </w:r>
          </w:p>
          <w:p w14:paraId="563905E7" w14:textId="57856053" w:rsidR="006348D1" w:rsidRPr="00D1799C" w:rsidRDefault="00C51C60" w:rsidP="00C51C60">
            <w:pPr>
              <w:spacing w:after="60" w:line="276" w:lineRule="auto"/>
              <w:jc w:val="both"/>
              <w:rPr>
                <w:rFonts w:ascii="Cambria" w:hAnsi="Cambria"/>
                <w:b/>
                <w:sz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64A45259" w14:textId="1E4E1A6A" w:rsidR="006348D1" w:rsidRPr="009923B3" w:rsidRDefault="009923B3" w:rsidP="006348D1">
            <w:pPr>
              <w:spacing w:before="60" w:after="60" w:line="276" w:lineRule="auto"/>
              <w:jc w:val="center"/>
              <w:rPr>
                <w:rFonts w:ascii="Cambria" w:hAnsi="Cambria" w:cs="Arial"/>
                <w:bCs/>
                <w:sz w:val="20"/>
                <w:szCs w:val="20"/>
              </w:rPr>
            </w:pPr>
            <w:r w:rsidRPr="009923B3">
              <w:rPr>
                <w:rFonts w:ascii="Cambria" w:hAnsi="Cambria" w:cs="Arial"/>
                <w:bCs/>
                <w:sz w:val="20"/>
                <w:szCs w:val="20"/>
              </w:rPr>
              <w:lastRenderedPageBreak/>
              <w:t>10</w:t>
            </w:r>
            <w:r w:rsidR="006348D1" w:rsidRPr="009923B3">
              <w:rPr>
                <w:rFonts w:ascii="Cambria" w:hAnsi="Cambria" w:cs="Arial"/>
                <w:bCs/>
                <w:sz w:val="20"/>
                <w:szCs w:val="20"/>
              </w:rPr>
              <w:t>%</w:t>
            </w:r>
          </w:p>
        </w:tc>
        <w:tc>
          <w:tcPr>
            <w:tcW w:w="1709" w:type="dxa"/>
            <w:tcBorders>
              <w:left w:val="single" w:sz="4" w:space="0" w:color="auto"/>
            </w:tcBorders>
            <w:vAlign w:val="center"/>
          </w:tcPr>
          <w:p w14:paraId="0EF7FB99" w14:textId="29E0C660" w:rsidR="006348D1" w:rsidRPr="009923B3" w:rsidRDefault="009923B3" w:rsidP="006348D1">
            <w:pPr>
              <w:spacing w:line="276" w:lineRule="auto"/>
              <w:jc w:val="center"/>
              <w:rPr>
                <w:rFonts w:ascii="Cambria" w:hAnsi="Cambria" w:cs="Arial"/>
                <w:sz w:val="20"/>
                <w:szCs w:val="20"/>
              </w:rPr>
            </w:pPr>
            <w:r w:rsidRPr="009923B3">
              <w:rPr>
                <w:rFonts w:ascii="Cambria" w:hAnsi="Cambria" w:cs="Arial"/>
                <w:sz w:val="20"/>
                <w:szCs w:val="20"/>
              </w:rPr>
              <w:t>10</w:t>
            </w:r>
            <w:r w:rsidR="00C51C60" w:rsidRPr="009923B3">
              <w:rPr>
                <w:rFonts w:ascii="Cambria" w:hAnsi="Cambria" w:cs="Arial"/>
                <w:sz w:val="20"/>
                <w:szCs w:val="20"/>
              </w:rPr>
              <w:t xml:space="preserve"> </w:t>
            </w:r>
            <w:r w:rsidR="006348D1" w:rsidRPr="009923B3">
              <w:rPr>
                <w:rFonts w:ascii="Cambria" w:hAnsi="Cambria" w:cs="Arial"/>
                <w:sz w:val="20"/>
                <w:szCs w:val="20"/>
              </w:rPr>
              <w:t>pkt</w:t>
            </w:r>
          </w:p>
        </w:tc>
      </w:tr>
    </w:tbl>
    <w:bookmarkEnd w:id="8"/>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lastRenderedPageBreak/>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deklaracje CE, RoHSE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lastRenderedPageBreak/>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lastRenderedPageBreak/>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9" w:name="_Hlk22623697"/>
      <w:r>
        <w:rPr>
          <w:rFonts w:ascii="Cambria" w:hAnsi="Cambria" w:cs="Arial"/>
          <w:sz w:val="20"/>
          <w:szCs w:val="20"/>
        </w:rPr>
        <w:t>W przypadku zmiany przepisów dotyczących podatku VAT kwota umowy ulegnie odpowiednio zmianie o wartość wynikającą z różnicy w stawce podatku VAT.</w:t>
      </w:r>
      <w:bookmarkEnd w:id="9"/>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lastRenderedPageBreak/>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w:t>
      </w:r>
      <w:r w:rsidRPr="00062E73">
        <w:rPr>
          <w:rFonts w:ascii="Cambria" w:hAnsi="Cambria" w:cs="Arial"/>
          <w:sz w:val="20"/>
          <w:szCs w:val="20"/>
        </w:rPr>
        <w:lastRenderedPageBreak/>
        <w:t xml:space="preserve">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0B1AB1D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1A257A4C" w14:textId="1FFF65B4" w:rsidR="00107990" w:rsidRPr="003E4A5B" w:rsidRDefault="0018382C" w:rsidP="00C51070">
      <w:pPr>
        <w:pStyle w:val="Akapitzlist"/>
        <w:numPr>
          <w:ilvl w:val="0"/>
          <w:numId w:val="41"/>
        </w:numPr>
        <w:spacing w:line="276" w:lineRule="auto"/>
        <w:ind w:left="284" w:hanging="284"/>
        <w:jc w:val="both"/>
        <w:rPr>
          <w:rFonts w:ascii="Cambria" w:hAnsi="Cambria" w:cs="Arial"/>
          <w:i/>
          <w:sz w:val="20"/>
          <w:szCs w:val="20"/>
        </w:rPr>
      </w:pPr>
      <w:r>
        <w:rPr>
          <w:rFonts w:ascii="Cambria" w:hAnsi="Cambria"/>
          <w:sz w:val="20"/>
          <w:szCs w:val="20"/>
        </w:rPr>
        <w:t xml:space="preserve"> Administratorem </w:t>
      </w:r>
      <w:r w:rsidR="00107990" w:rsidRPr="003E4A5B">
        <w:rPr>
          <w:rFonts w:ascii="Cambria" w:hAnsi="Cambria"/>
          <w:sz w:val="20"/>
          <w:szCs w:val="20"/>
        </w:rPr>
        <w:t xml:space="preserve">danych osobowych </w:t>
      </w:r>
      <w:r>
        <w:rPr>
          <w:rFonts w:ascii="Cambria" w:hAnsi="Cambria"/>
          <w:sz w:val="20"/>
          <w:szCs w:val="20"/>
        </w:rPr>
        <w:t xml:space="preserve">jest Gmina Lipnik w sprawach zakresu danych osobowych można kontaktować się z inspektorem ochrony danych osobowych pod adresem </w:t>
      </w:r>
      <w:r w:rsidR="00107990" w:rsidRPr="00EB76B1">
        <w:rPr>
          <w:rFonts w:ascii="Cambria" w:hAnsi="Cambria"/>
          <w:sz w:val="20"/>
          <w:szCs w:val="20"/>
        </w:rPr>
        <w:t>e-mail</w:t>
      </w:r>
      <w:r w:rsidR="00107990" w:rsidRPr="00BF6B9F">
        <w:rPr>
          <w:rFonts w:ascii="Cambria" w:hAnsi="Cambria"/>
          <w:sz w:val="20"/>
          <w:szCs w:val="20"/>
        </w:rPr>
        <w:t>:</w:t>
      </w:r>
      <w:r w:rsidRPr="00BF6B9F">
        <w:rPr>
          <w:rFonts w:ascii="Cambria" w:hAnsi="Cambria"/>
          <w:sz w:val="20"/>
          <w:szCs w:val="20"/>
        </w:rPr>
        <w:t xml:space="preserve"> </w:t>
      </w:r>
      <w:hyperlink r:id="rId14" w:history="1">
        <w:r w:rsidR="00293BB7" w:rsidRPr="00BF6B9F">
          <w:rPr>
            <w:rStyle w:val="Hipercze"/>
            <w:rFonts w:ascii="Cambria" w:hAnsi="Cambria"/>
            <w:sz w:val="20"/>
            <w:szCs w:val="20"/>
          </w:rPr>
          <w:t>ido@lipnik.pl</w:t>
        </w:r>
      </w:hyperlink>
      <w:r w:rsidR="00293BB7" w:rsidRPr="00BF6B9F">
        <w:rPr>
          <w:rFonts w:ascii="Cambria" w:hAnsi="Cambria"/>
          <w:sz w:val="20"/>
          <w:szCs w:val="20"/>
        </w:rPr>
        <w:t xml:space="preserve"> </w:t>
      </w:r>
    </w:p>
    <w:p w14:paraId="2AD16C62" w14:textId="37FFE8AF" w:rsidR="00107990" w:rsidRPr="0094324B" w:rsidRDefault="00107990" w:rsidP="0094324B">
      <w:pPr>
        <w:pStyle w:val="Akapitzlist"/>
        <w:numPr>
          <w:ilvl w:val="0"/>
          <w:numId w:val="41"/>
        </w:numPr>
        <w:spacing w:line="276" w:lineRule="auto"/>
        <w:jc w:val="both"/>
        <w:rPr>
          <w:rFonts w:ascii="Cambria" w:hAnsi="Cambria"/>
          <w:b/>
          <w:bCs/>
          <w:sz w:val="20"/>
          <w:szCs w:val="20"/>
        </w:rPr>
      </w:pPr>
      <w:r w:rsidRPr="003E4A5B">
        <w:rPr>
          <w:rFonts w:ascii="Cambria" w:hAnsi="Cambria" w:cs="Arial"/>
          <w:sz w:val="20"/>
          <w:szCs w:val="20"/>
        </w:rPr>
        <w:t xml:space="preserve">dane osobowe Wykonawcy przetwarzane będą na podstawie art. 6 ust. 1 lit. c RODO </w:t>
      </w:r>
      <w:r w:rsidRPr="003E4A5B">
        <w:rPr>
          <w:rFonts w:ascii="Cambria" w:hAnsi="Cambria" w:cs="Arial"/>
          <w:sz w:val="20"/>
          <w:szCs w:val="20"/>
        </w:rPr>
        <w:br/>
        <w:t xml:space="preserve">w celu związanym z postępowaniem o udzielenie zamówienia publicznego </w:t>
      </w:r>
      <w:r w:rsidRPr="003E4A5B">
        <w:rPr>
          <w:rFonts w:ascii="Cambria" w:hAnsi="Cambria" w:cs="Arial"/>
          <w:sz w:val="20"/>
          <w:szCs w:val="20"/>
        </w:rPr>
        <w:br/>
        <w:t xml:space="preserve">pn. </w:t>
      </w:r>
      <w:r w:rsidR="00EB76B1">
        <w:rPr>
          <w:rFonts w:ascii="Cambria" w:hAnsi="Cambria"/>
          <w:b/>
          <w:bCs/>
          <w:sz w:val="20"/>
          <w:szCs w:val="20"/>
        </w:rPr>
        <w:t>„</w:t>
      </w:r>
      <w:r w:rsidR="0094324B" w:rsidRPr="0094324B">
        <w:rPr>
          <w:rFonts w:ascii="Cambria" w:hAnsi="Cambria"/>
          <w:b/>
          <w:bCs/>
          <w:sz w:val="20"/>
          <w:szCs w:val="20"/>
        </w:rPr>
        <w:t>Kompleksowa modernizacja oświetlenia</w:t>
      </w:r>
      <w:r w:rsidR="0094324B">
        <w:rPr>
          <w:rFonts w:ascii="Cambria" w:hAnsi="Cambria"/>
          <w:b/>
          <w:bCs/>
          <w:sz w:val="20"/>
          <w:szCs w:val="20"/>
        </w:rPr>
        <w:t xml:space="preserve"> </w:t>
      </w:r>
      <w:r w:rsidR="0094324B" w:rsidRPr="0094324B">
        <w:rPr>
          <w:rFonts w:ascii="Cambria" w:hAnsi="Cambria"/>
          <w:b/>
          <w:bCs/>
          <w:sz w:val="20"/>
          <w:szCs w:val="20"/>
        </w:rPr>
        <w:t>ulicznego na terenie Gminy Lipnik</w:t>
      </w:r>
      <w:r w:rsidR="00EB76B1" w:rsidRPr="0094324B">
        <w:rPr>
          <w:rFonts w:ascii="Cambria" w:hAnsi="Cambria"/>
          <w:b/>
          <w:bCs/>
          <w:sz w:val="20"/>
          <w:szCs w:val="20"/>
        </w:rPr>
        <w:t>”,</w:t>
      </w:r>
      <w:r w:rsidRPr="0094324B">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16 RODO prawo do sprostowania danych osobowych, o ile ich zmiana nie skutkuje zmianą wyniku postępowania o udzielenie zamówienia publicznego ani zmianą </w:t>
      </w:r>
      <w:r w:rsidRPr="003E4A5B">
        <w:rPr>
          <w:rFonts w:ascii="Cambria" w:hAnsi="Cambria" w:cs="Arial"/>
          <w:sz w:val="20"/>
          <w:szCs w:val="20"/>
        </w:rPr>
        <w:lastRenderedPageBreak/>
        <w:t>postanowień umowy w zakresie niezgodnym z ustawą Pzp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25056DF9" w14:textId="5084B9C7" w:rsidR="00554B4B" w:rsidRDefault="00C5305C" w:rsidP="00581E16">
      <w:pPr>
        <w:spacing w:line="276" w:lineRule="auto"/>
        <w:ind w:left="1560" w:hanging="993"/>
        <w:rPr>
          <w:rFonts w:ascii="Cambria" w:hAnsi="Cambria"/>
          <w:sz w:val="20"/>
          <w:szCs w:val="20"/>
        </w:rPr>
      </w:pPr>
      <w:r w:rsidRPr="00062E73">
        <w:rPr>
          <w:rFonts w:ascii="Cambria" w:eastAsia="Calibri" w:hAnsi="Cambria"/>
          <w:sz w:val="20"/>
          <w:szCs w:val="20"/>
          <w:lang w:eastAsia="en-US"/>
        </w:rPr>
        <w:t xml:space="preserve"> </w:t>
      </w: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741DD50F" w14:textId="755ECA53" w:rsidR="008F4880" w:rsidRPr="002577CE" w:rsidRDefault="008F4880" w:rsidP="00581E16">
      <w:pPr>
        <w:spacing w:line="276" w:lineRule="auto"/>
        <w:ind w:left="1560" w:hanging="993"/>
        <w:rPr>
          <w:rFonts w:ascii="Cambria" w:hAnsi="Cambria"/>
          <w:b/>
          <w:color w:val="FF0000"/>
          <w:sz w:val="20"/>
          <w:szCs w:val="20"/>
        </w:rPr>
      </w:pPr>
      <w:r w:rsidRPr="002577CE">
        <w:rPr>
          <w:rFonts w:ascii="Cambria" w:hAnsi="Cambria"/>
          <w:b/>
          <w:color w:val="FF0000"/>
          <w:sz w:val="20"/>
          <w:szCs w:val="20"/>
        </w:rPr>
        <w:t xml:space="preserve">Załącznik nr 1a: </w:t>
      </w:r>
      <w:r w:rsidRPr="002577CE">
        <w:rPr>
          <w:rFonts w:ascii="Cambria" w:hAnsi="Cambria"/>
          <w:b/>
          <w:color w:val="FF0000"/>
          <w:sz w:val="20"/>
          <w:szCs w:val="20"/>
        </w:rPr>
        <w:tab/>
        <w:t>Tabela do obliczeń fotometrycznych</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lastRenderedPageBreak/>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4ABD0B4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sectPr w:rsidR="00E60385" w:rsidRPr="00062E73" w:rsidSect="005501E1">
      <w:headerReference w:type="default" r:id="rId15"/>
      <w:footerReference w:type="default" r:id="rId16"/>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ED4D" w14:textId="77777777" w:rsidR="00C86A2F" w:rsidRDefault="00C86A2F">
      <w:r>
        <w:separator/>
      </w:r>
    </w:p>
  </w:endnote>
  <w:endnote w:type="continuationSeparator" w:id="0">
    <w:p w14:paraId="5ED26041" w14:textId="77777777" w:rsidR="00C86A2F" w:rsidRDefault="00C8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15773"/>
      <w:docPartObj>
        <w:docPartGallery w:val="Page Numbers (Bottom of Page)"/>
        <w:docPartUnique/>
      </w:docPartObj>
    </w:sdtPr>
    <w:sdtEndPr>
      <w:rPr>
        <w:rFonts w:ascii="Cambria" w:hAnsi="Cambria"/>
        <w:sz w:val="20"/>
        <w:szCs w:val="20"/>
      </w:rPr>
    </w:sdtEndPr>
    <w:sdtContent>
      <w:p w14:paraId="0090E1AE" w14:textId="55A77709" w:rsidR="00C86A2F" w:rsidRPr="00BF6B9F" w:rsidRDefault="00C86A2F">
        <w:pPr>
          <w:pStyle w:val="Stopka"/>
          <w:jc w:val="right"/>
          <w:rPr>
            <w:rFonts w:ascii="Cambria" w:hAnsi="Cambria"/>
            <w:sz w:val="20"/>
            <w:szCs w:val="20"/>
          </w:rPr>
        </w:pPr>
        <w:r w:rsidRPr="00BF6B9F">
          <w:rPr>
            <w:rFonts w:ascii="Cambria" w:hAnsi="Cambria"/>
            <w:sz w:val="20"/>
            <w:szCs w:val="20"/>
          </w:rPr>
          <w:t xml:space="preserve">Strona | </w:t>
        </w:r>
        <w:r w:rsidRPr="00BF6B9F">
          <w:rPr>
            <w:rFonts w:ascii="Cambria" w:hAnsi="Cambria"/>
            <w:sz w:val="20"/>
            <w:szCs w:val="20"/>
          </w:rPr>
          <w:fldChar w:fldCharType="begin"/>
        </w:r>
        <w:r w:rsidRPr="00BF6B9F">
          <w:rPr>
            <w:rFonts w:ascii="Cambria" w:hAnsi="Cambria"/>
            <w:sz w:val="20"/>
            <w:szCs w:val="20"/>
          </w:rPr>
          <w:instrText>PAGE   \* MERGEFORMAT</w:instrText>
        </w:r>
        <w:r w:rsidRPr="00BF6B9F">
          <w:rPr>
            <w:rFonts w:ascii="Cambria" w:hAnsi="Cambria"/>
            <w:sz w:val="20"/>
            <w:szCs w:val="20"/>
          </w:rPr>
          <w:fldChar w:fldCharType="separate"/>
        </w:r>
        <w:r w:rsidR="009C46F6">
          <w:rPr>
            <w:rFonts w:ascii="Cambria" w:hAnsi="Cambria"/>
            <w:noProof/>
            <w:sz w:val="20"/>
            <w:szCs w:val="20"/>
          </w:rPr>
          <w:t>1</w:t>
        </w:r>
        <w:r w:rsidRPr="00BF6B9F">
          <w:rPr>
            <w:rFonts w:ascii="Cambria" w:hAnsi="Cambria"/>
            <w:noProof/>
            <w:sz w:val="20"/>
            <w:szCs w:val="20"/>
          </w:rPr>
          <w:fldChar w:fldCharType="end"/>
        </w:r>
        <w:r w:rsidRPr="00BF6B9F">
          <w:rPr>
            <w:rFonts w:ascii="Cambria" w:hAnsi="Cambria"/>
            <w:sz w:val="20"/>
            <w:szCs w:val="20"/>
          </w:rPr>
          <w:t xml:space="preserve"> </w:t>
        </w:r>
      </w:p>
    </w:sdtContent>
  </w:sdt>
  <w:p w14:paraId="512E7E5E" w14:textId="77777777" w:rsidR="00C86A2F" w:rsidRDefault="00C86A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A116" w14:textId="77777777" w:rsidR="00C86A2F" w:rsidRDefault="00C86A2F">
      <w:r>
        <w:separator/>
      </w:r>
    </w:p>
  </w:footnote>
  <w:footnote w:type="continuationSeparator" w:id="0">
    <w:p w14:paraId="415359E5" w14:textId="77777777" w:rsidR="00C86A2F" w:rsidRDefault="00C86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C86A2F" w:rsidRPr="00D77D6D" w14:paraId="6CCC5B56" w14:textId="77777777" w:rsidTr="00165D5A">
      <w:tc>
        <w:tcPr>
          <w:tcW w:w="1843" w:type="dxa"/>
          <w:tcMar>
            <w:left w:w="0" w:type="dxa"/>
            <w:right w:w="0" w:type="dxa"/>
          </w:tcMar>
        </w:tcPr>
        <w:p w14:paraId="1CED42FE" w14:textId="77777777" w:rsidR="00C86A2F" w:rsidRPr="00D77D6D" w:rsidRDefault="00C86A2F" w:rsidP="00770CC5">
          <w:pPr>
            <w:rPr>
              <w:rFonts w:ascii="Calibri" w:hAnsi="Calibri"/>
              <w:noProof/>
            </w:rPr>
          </w:pPr>
          <w:bookmarkStart w:id="10" w:name="_Hlk25055772"/>
          <w:bookmarkStart w:id="11"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C86A2F" w:rsidRPr="00D77D6D" w:rsidRDefault="00C86A2F"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C86A2F" w:rsidRPr="00D77D6D" w:rsidRDefault="00C86A2F"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C86A2F" w:rsidRPr="00D77D6D" w:rsidRDefault="00C86A2F"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6D8D2AC" w14:textId="77777777" w:rsidR="00C86A2F" w:rsidRDefault="00C86A2F" w:rsidP="00B052EA">
    <w:pPr>
      <w:pStyle w:val="Nagwek"/>
      <w:rPr>
        <w:rFonts w:ascii="Cambria" w:hAnsi="Cambria" w:cs="Cambria"/>
        <w:sz w:val="20"/>
        <w:szCs w:val="20"/>
      </w:rPr>
    </w:pPr>
  </w:p>
  <w:p w14:paraId="771707FE" w14:textId="77777777" w:rsidR="00C86A2F" w:rsidRDefault="00C86A2F" w:rsidP="00B052EA">
    <w:pPr>
      <w:pStyle w:val="Nagwek"/>
      <w:rPr>
        <w:rFonts w:ascii="Cambria" w:hAnsi="Cambria" w:cs="Cambria"/>
        <w:sz w:val="20"/>
        <w:szCs w:val="20"/>
      </w:rPr>
    </w:pPr>
  </w:p>
  <w:p w14:paraId="499A90B0" w14:textId="1FE7166F" w:rsidR="00C86A2F" w:rsidRDefault="00C86A2F" w:rsidP="008142EB">
    <w:pPr>
      <w:pStyle w:val="Standard"/>
      <w:rPr>
        <w:rFonts w:ascii="Cambria" w:hAnsi="Cambria"/>
        <w:b/>
        <w:bCs/>
        <w:sz w:val="20"/>
        <w:szCs w:val="20"/>
      </w:rPr>
    </w:pPr>
    <w:bookmarkStart w:id="12" w:name="_Hlk9335319"/>
    <w:r w:rsidRPr="00BB2B33">
      <w:rPr>
        <w:rFonts w:ascii="Cambria" w:hAnsi="Cambria"/>
        <w:sz w:val="20"/>
        <w:szCs w:val="20"/>
      </w:rPr>
      <w:t xml:space="preserve">Znak sprawy: </w:t>
    </w:r>
    <w:r>
      <w:rPr>
        <w:rFonts w:ascii="Cambria" w:hAnsi="Cambria"/>
        <w:sz w:val="20"/>
        <w:szCs w:val="20"/>
      </w:rPr>
      <w:t xml:space="preserve">ZP.271.9.2020 </w:t>
    </w:r>
  </w:p>
  <w:bookmarkEnd w:id="10"/>
  <w:bookmarkEnd w:id="11"/>
  <w:bookmarkEnd w:id="12"/>
  <w:p w14:paraId="49AD7BB1" w14:textId="77777777" w:rsidR="00C86A2F" w:rsidRPr="00B052EA" w:rsidRDefault="00C86A2F" w:rsidP="00B052EA">
    <w:pPr>
      <w:pStyle w:val="Nagwek"/>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9210E034"/>
    <w:lvl w:ilvl="0" w:tplc="F072F700">
      <w:start w:val="1"/>
      <w:numFmt w:val="decimal"/>
      <w:lvlText w:val="%1."/>
      <w:lvlJc w:val="left"/>
      <w:pPr>
        <w:tabs>
          <w:tab w:val="num" w:pos="540"/>
        </w:tabs>
        <w:ind w:left="180"/>
      </w:pPr>
      <w:rPr>
        <w:rFonts w:hint="default"/>
        <w:b w:val="0"/>
        <w:bCs w:val="0"/>
        <w:i w:val="0"/>
        <w:iCs w:val="0"/>
        <w:caps w:val="0"/>
        <w:strike w:val="0"/>
        <w:dstrike w:val="0"/>
        <w:vanish w:val="0"/>
        <w:color w:val="auto"/>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4454030"/>
    <w:multiLevelType w:val="hybridMultilevel"/>
    <w:tmpl w:val="65FA8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0"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1"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5" w15:restartNumberingAfterBreak="0">
    <w:nsid w:val="5ACB6D20"/>
    <w:multiLevelType w:val="hybridMultilevel"/>
    <w:tmpl w:val="EED0572E"/>
    <w:lvl w:ilvl="0" w:tplc="FFE8FD54">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6"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6297071B"/>
    <w:multiLevelType w:val="hybridMultilevel"/>
    <w:tmpl w:val="ADFC5272"/>
    <w:lvl w:ilvl="0" w:tplc="ED8E22F6">
      <w:numFmt w:val="bullet"/>
      <w:lvlText w:val="•"/>
      <w:lvlJc w:val="left"/>
      <w:pPr>
        <w:ind w:left="1866" w:hanging="360"/>
      </w:pPr>
      <w:rPr>
        <w:rFonts w:ascii="Cambria" w:eastAsia="Times New Roman" w:hAnsi="Cambria"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0"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8"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C786A72"/>
    <w:multiLevelType w:val="hybridMultilevel"/>
    <w:tmpl w:val="EB98DAB6"/>
    <w:lvl w:ilvl="0" w:tplc="268C1274">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5"/>
  </w:num>
  <w:num w:numId="4">
    <w:abstractNumId w:val="40"/>
  </w:num>
  <w:num w:numId="5">
    <w:abstractNumId w:val="24"/>
  </w:num>
  <w:num w:numId="6">
    <w:abstractNumId w:val="38"/>
  </w:num>
  <w:num w:numId="7">
    <w:abstractNumId w:val="0"/>
  </w:num>
  <w:num w:numId="8">
    <w:abstractNumId w:val="58"/>
  </w:num>
  <w:num w:numId="9">
    <w:abstractNumId w:val="17"/>
  </w:num>
  <w:num w:numId="10">
    <w:abstractNumId w:val="14"/>
  </w:num>
  <w:num w:numId="11">
    <w:abstractNumId w:val="41"/>
  </w:num>
  <w:num w:numId="12">
    <w:abstractNumId w:val="53"/>
  </w:num>
  <w:num w:numId="13">
    <w:abstractNumId w:val="13"/>
  </w:num>
  <w:num w:numId="14">
    <w:abstractNumId w:val="44"/>
  </w:num>
  <w:num w:numId="15">
    <w:abstractNumId w:val="18"/>
  </w:num>
  <w:num w:numId="16">
    <w:abstractNumId w:val="31"/>
  </w:num>
  <w:num w:numId="17">
    <w:abstractNumId w:val="52"/>
  </w:num>
  <w:num w:numId="18">
    <w:abstractNumId w:val="28"/>
  </w:num>
  <w:num w:numId="19">
    <w:abstractNumId w:val="19"/>
  </w:num>
  <w:num w:numId="20">
    <w:abstractNumId w:val="32"/>
  </w:num>
  <w:num w:numId="21">
    <w:abstractNumId w:val="42"/>
  </w:num>
  <w:num w:numId="22">
    <w:abstractNumId w:val="27"/>
  </w:num>
  <w:num w:numId="23">
    <w:abstractNumId w:val="60"/>
  </w:num>
  <w:num w:numId="24">
    <w:abstractNumId w:val="6"/>
  </w:num>
  <w:num w:numId="25">
    <w:abstractNumId w:val="1"/>
  </w:num>
  <w:num w:numId="26">
    <w:abstractNumId w:val="4"/>
  </w:num>
  <w:num w:numId="27">
    <w:abstractNumId w:val="5"/>
  </w:num>
  <w:num w:numId="28">
    <w:abstractNumId w:val="51"/>
  </w:num>
  <w:num w:numId="29">
    <w:abstractNumId w:val="22"/>
  </w:num>
  <w:num w:numId="30">
    <w:abstractNumId w:val="48"/>
  </w:num>
  <w:num w:numId="31">
    <w:abstractNumId w:val="15"/>
  </w:num>
  <w:num w:numId="32">
    <w:abstractNumId w:val="56"/>
  </w:num>
  <w:num w:numId="33">
    <w:abstractNumId w:val="50"/>
  </w:num>
  <w:num w:numId="34">
    <w:abstractNumId w:val="57"/>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4"/>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6"/>
  </w:num>
  <w:num w:numId="51">
    <w:abstractNumId w:val="49"/>
  </w:num>
  <w:num w:numId="52">
    <w:abstractNumId w:val="2"/>
  </w:num>
  <w:num w:numId="53">
    <w:abstractNumId w:val="11"/>
  </w:num>
  <w:num w:numId="54">
    <w:abstractNumId w:val="59"/>
  </w:num>
  <w:num w:numId="55">
    <w:abstractNumId w:val="47"/>
  </w:num>
  <w:num w:numId="56">
    <w:abstractNumId w:val="45"/>
  </w:num>
  <w:num w:numId="57">
    <w:abstractNumId w:val="29"/>
  </w:num>
  <w:num w:numId="58">
    <w:abstractNumId w:val="33"/>
  </w:num>
  <w:num w:numId="59">
    <w:abstractNumId w:val="43"/>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5625"/>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5CC1"/>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147C"/>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82C"/>
    <w:rsid w:val="00183F11"/>
    <w:rsid w:val="00185F4B"/>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3E54"/>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7CE"/>
    <w:rsid w:val="00257AFE"/>
    <w:rsid w:val="00257F23"/>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3BB7"/>
    <w:rsid w:val="00295A29"/>
    <w:rsid w:val="00295C1E"/>
    <w:rsid w:val="002973C0"/>
    <w:rsid w:val="002975E0"/>
    <w:rsid w:val="002A0D19"/>
    <w:rsid w:val="002A2227"/>
    <w:rsid w:val="002A2811"/>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027B"/>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57859"/>
    <w:rsid w:val="00360216"/>
    <w:rsid w:val="0036154C"/>
    <w:rsid w:val="00362D8A"/>
    <w:rsid w:val="00363637"/>
    <w:rsid w:val="00363997"/>
    <w:rsid w:val="00365A51"/>
    <w:rsid w:val="00367247"/>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2310"/>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3A1"/>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4A1"/>
    <w:rsid w:val="004E38A2"/>
    <w:rsid w:val="004E38AF"/>
    <w:rsid w:val="004E5576"/>
    <w:rsid w:val="004E57F8"/>
    <w:rsid w:val="004E7B5F"/>
    <w:rsid w:val="004E7E97"/>
    <w:rsid w:val="004F0CC5"/>
    <w:rsid w:val="004F2200"/>
    <w:rsid w:val="004F2B83"/>
    <w:rsid w:val="004F2EE6"/>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0BB0"/>
    <w:rsid w:val="005413DD"/>
    <w:rsid w:val="0054180C"/>
    <w:rsid w:val="00541A81"/>
    <w:rsid w:val="00542831"/>
    <w:rsid w:val="00543235"/>
    <w:rsid w:val="00544167"/>
    <w:rsid w:val="00544673"/>
    <w:rsid w:val="00546E3F"/>
    <w:rsid w:val="00547002"/>
    <w:rsid w:val="0054702C"/>
    <w:rsid w:val="00547094"/>
    <w:rsid w:val="005501E1"/>
    <w:rsid w:val="0055069E"/>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7B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68D"/>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11F"/>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7321"/>
    <w:rsid w:val="00687810"/>
    <w:rsid w:val="006920D1"/>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1201"/>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3863"/>
    <w:rsid w:val="0075574D"/>
    <w:rsid w:val="00756694"/>
    <w:rsid w:val="00757322"/>
    <w:rsid w:val="007574C8"/>
    <w:rsid w:val="00757C0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889"/>
    <w:rsid w:val="007B0FC9"/>
    <w:rsid w:val="007B1144"/>
    <w:rsid w:val="007B1E14"/>
    <w:rsid w:val="007B260C"/>
    <w:rsid w:val="007B32DF"/>
    <w:rsid w:val="007B4304"/>
    <w:rsid w:val="007B64BD"/>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878"/>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4880"/>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414F"/>
    <w:rsid w:val="00934454"/>
    <w:rsid w:val="0093448C"/>
    <w:rsid w:val="00936BC0"/>
    <w:rsid w:val="00940191"/>
    <w:rsid w:val="00941018"/>
    <w:rsid w:val="00942125"/>
    <w:rsid w:val="0094324B"/>
    <w:rsid w:val="009440E4"/>
    <w:rsid w:val="00944CC0"/>
    <w:rsid w:val="0094657F"/>
    <w:rsid w:val="00950967"/>
    <w:rsid w:val="00950FB1"/>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23B3"/>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4302"/>
    <w:rsid w:val="009C46F6"/>
    <w:rsid w:val="009C5291"/>
    <w:rsid w:val="009C65A0"/>
    <w:rsid w:val="009C797B"/>
    <w:rsid w:val="009D0676"/>
    <w:rsid w:val="009D1892"/>
    <w:rsid w:val="009D30C3"/>
    <w:rsid w:val="009D4A97"/>
    <w:rsid w:val="009D5156"/>
    <w:rsid w:val="009D5398"/>
    <w:rsid w:val="009D729F"/>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0F24"/>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47DDF"/>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2F23"/>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4A89"/>
    <w:rsid w:val="00B2770D"/>
    <w:rsid w:val="00B3007C"/>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B6E"/>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3456"/>
    <w:rsid w:val="00BF4530"/>
    <w:rsid w:val="00BF4D80"/>
    <w:rsid w:val="00BF4E1D"/>
    <w:rsid w:val="00BF5739"/>
    <w:rsid w:val="00BF5BF3"/>
    <w:rsid w:val="00BF5DA8"/>
    <w:rsid w:val="00BF5EEC"/>
    <w:rsid w:val="00BF6B9F"/>
    <w:rsid w:val="00C0026E"/>
    <w:rsid w:val="00C00986"/>
    <w:rsid w:val="00C024FC"/>
    <w:rsid w:val="00C02A08"/>
    <w:rsid w:val="00C02A4E"/>
    <w:rsid w:val="00C03B95"/>
    <w:rsid w:val="00C046A7"/>
    <w:rsid w:val="00C04961"/>
    <w:rsid w:val="00C04B75"/>
    <w:rsid w:val="00C062E8"/>
    <w:rsid w:val="00C06E71"/>
    <w:rsid w:val="00C074A2"/>
    <w:rsid w:val="00C10833"/>
    <w:rsid w:val="00C11F03"/>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7BC"/>
    <w:rsid w:val="00C5305C"/>
    <w:rsid w:val="00C543B0"/>
    <w:rsid w:val="00C5474E"/>
    <w:rsid w:val="00C55572"/>
    <w:rsid w:val="00C60C51"/>
    <w:rsid w:val="00C64EEB"/>
    <w:rsid w:val="00C67164"/>
    <w:rsid w:val="00C67C9C"/>
    <w:rsid w:val="00C704E5"/>
    <w:rsid w:val="00C70569"/>
    <w:rsid w:val="00C7096B"/>
    <w:rsid w:val="00C72200"/>
    <w:rsid w:val="00C7291A"/>
    <w:rsid w:val="00C73647"/>
    <w:rsid w:val="00C755A1"/>
    <w:rsid w:val="00C778A4"/>
    <w:rsid w:val="00C81084"/>
    <w:rsid w:val="00C812E0"/>
    <w:rsid w:val="00C82943"/>
    <w:rsid w:val="00C82F2C"/>
    <w:rsid w:val="00C83D94"/>
    <w:rsid w:val="00C8506E"/>
    <w:rsid w:val="00C86A2F"/>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3B7"/>
    <w:rsid w:val="00CB5EEF"/>
    <w:rsid w:val="00CB65FE"/>
    <w:rsid w:val="00CB6BB9"/>
    <w:rsid w:val="00CB6F22"/>
    <w:rsid w:val="00CB7BE2"/>
    <w:rsid w:val="00CC01D4"/>
    <w:rsid w:val="00CC08D3"/>
    <w:rsid w:val="00CC33D1"/>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9BE"/>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0CFB"/>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302"/>
    <w:rsid w:val="00DE35F6"/>
    <w:rsid w:val="00DE3E2B"/>
    <w:rsid w:val="00DE4B85"/>
    <w:rsid w:val="00DE733E"/>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274C"/>
    <w:rsid w:val="00F33521"/>
    <w:rsid w:val="00F335DB"/>
    <w:rsid w:val="00F35231"/>
    <w:rsid w:val="00F35B09"/>
    <w:rsid w:val="00F36CE2"/>
    <w:rsid w:val="00F41DD1"/>
    <w:rsid w:val="00F4696D"/>
    <w:rsid w:val="00F46F8F"/>
    <w:rsid w:val="00F50CFB"/>
    <w:rsid w:val="00F50F18"/>
    <w:rsid w:val="00F516A7"/>
    <w:rsid w:val="00F516D7"/>
    <w:rsid w:val="00F525DC"/>
    <w:rsid w:val="00F5311D"/>
    <w:rsid w:val="00F545F8"/>
    <w:rsid w:val="00F553B6"/>
    <w:rsid w:val="00F56043"/>
    <w:rsid w:val="00F561AF"/>
    <w:rsid w:val="00F5647F"/>
    <w:rsid w:val="00F5760A"/>
    <w:rsid w:val="00F602D1"/>
    <w:rsid w:val="00F61BB6"/>
    <w:rsid w:val="00F62C07"/>
    <w:rsid w:val="00F640DC"/>
    <w:rsid w:val="00F6425C"/>
    <w:rsid w:val="00F644ED"/>
    <w:rsid w:val="00F6643D"/>
    <w:rsid w:val="00F66AA1"/>
    <w:rsid w:val="00F714A6"/>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86EC98"/>
  <w15:docId w15:val="{3F94C0D8-64EC-454E-AD79-78EA1AB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rsid w:val="00FD1349"/>
    <w:rPr>
      <w:sz w:val="20"/>
      <w:szCs w:val="20"/>
    </w:rPr>
  </w:style>
  <w:style w:type="character" w:customStyle="1" w:styleId="TekstprzypisudolnegoZnak">
    <w:name w:val="Tekst przypisu dolnego Znak"/>
    <w:link w:val="Tekstprzypisudolnego"/>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kancelariajiz.pl" TargetMode="External"/><Relationship Id="rId4" Type="http://schemas.openxmlformats.org/officeDocument/2006/relationships/styles" Target="styles.xml"/><Relationship Id="rId9" Type="http://schemas.openxmlformats.org/officeDocument/2006/relationships/hyperlink" Target="http://www.kancelariajiz.pl" TargetMode="External"/><Relationship Id="rId14" Type="http://schemas.openxmlformats.org/officeDocument/2006/relationships/hyperlink" Target="mailto:ido@lipnik.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8790F-8F00-49C9-B1F8-AD910BE0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27</Pages>
  <Words>11160</Words>
  <Characters>66963</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77968</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dc:creator>
  <cp:lastModifiedBy>user</cp:lastModifiedBy>
  <cp:revision>12</cp:revision>
  <cp:lastPrinted>2019-02-07T14:31:00Z</cp:lastPrinted>
  <dcterms:created xsi:type="dcterms:W3CDTF">2020-11-18T11:51:00Z</dcterms:created>
  <dcterms:modified xsi:type="dcterms:W3CDTF">2020-11-30T13:57:00Z</dcterms:modified>
</cp:coreProperties>
</file>