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C1251B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C1251B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C1251B">
        <w:rPr>
          <w:rFonts w:ascii="Cambria" w:hAnsi="Cambria"/>
          <w:b/>
          <w:sz w:val="20"/>
          <w:szCs w:val="20"/>
        </w:rPr>
        <w:t>ewid</w:t>
      </w:r>
      <w:proofErr w:type="spellEnd"/>
      <w:r w:rsidRPr="00C1251B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>, projektem budowlanym wykonawczym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EF56E6" w:rsidRPr="00E62E2D" w:rsidRDefault="00C8371C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6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nad robotami stanowiącymi przedmiot niniejszej umowy,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Zorganizuje i zagospodaruje plac budowy, m.in. utrzyma zaplecze budowy, zaopatrzenie placu budowy w niezbędne media (woda, energia elektryczna itp.), uzyska stosowne zgody zapewniające dojazd do terenu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budowy dostawcom i obsłudze budowy, dozór budowy, wywóz nieczystości, ubezpieczy budowę, będzie 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</w:t>
      </w:r>
      <w:r w:rsidR="00F47851">
        <w:rPr>
          <w:rFonts w:ascii="Cambria" w:eastAsia="Calibri" w:hAnsi="Cambria" w:cs="Calibri"/>
          <w:bCs/>
          <w:color w:val="000000"/>
          <w:sz w:val="20"/>
          <w:szCs w:val="20"/>
        </w:rPr>
        <w:t>aktura częściowa po wykonaniu  6</w:t>
      </w:r>
      <w:bookmarkStart w:id="1" w:name="_GoBack"/>
      <w:bookmarkEnd w:id="1"/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3E3CE7" w:rsidRDefault="003E3CE7" w:rsidP="003E3CE7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3E3CE7">
        <w:rPr>
          <w:rFonts w:ascii="Cambria" w:hAnsi="Cambria"/>
          <w:sz w:val="20"/>
          <w:szCs w:val="20"/>
        </w:rPr>
        <w:t>Zapłata nastąpi w terminie 30 dni licząc od dnia doręczenia Zamawiającemu prawidłowo wystawionej faktury wraz z protokołem odbioru robót końcowych lub protokołem odbioru robót częściowych z kompletnymi dokumentami odbiorowymi</w:t>
      </w:r>
      <w:r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2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2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3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1A0524" w:rsidRDefault="00E62E2D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E62E2D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E62E2D">
        <w:rPr>
          <w:rFonts w:ascii="Cambria" w:hAnsi="Cambria"/>
          <w:b/>
          <w:sz w:val="20"/>
          <w:szCs w:val="20"/>
        </w:rPr>
        <w:t>ewid</w:t>
      </w:r>
      <w:proofErr w:type="spellEnd"/>
      <w:r w:rsidRPr="00E62E2D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A6" w:rsidRDefault="00B077A6">
      <w:pPr>
        <w:spacing w:after="0" w:line="240" w:lineRule="auto"/>
      </w:pPr>
      <w:r>
        <w:separator/>
      </w:r>
    </w:p>
  </w:endnote>
  <w:endnote w:type="continuationSeparator" w:id="0">
    <w:p w:rsidR="00B077A6" w:rsidRDefault="00B0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F47851">
      <w:rPr>
        <w:b/>
        <w:noProof/>
        <w:sz w:val="16"/>
      </w:rPr>
      <w:t>10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F47851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A6" w:rsidRDefault="00B077A6">
      <w:pPr>
        <w:spacing w:after="0" w:line="240" w:lineRule="auto"/>
      </w:pPr>
      <w:r>
        <w:separator/>
      </w:r>
    </w:p>
  </w:footnote>
  <w:footnote w:type="continuationSeparator" w:id="0">
    <w:p w:rsidR="00B077A6" w:rsidRDefault="00B0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>
      <w:rPr>
        <w:rFonts w:ascii="Cambria" w:hAnsi="Cambria"/>
        <w:b/>
        <w:sz w:val="20"/>
      </w:rPr>
      <w:t>Nr referencyjny: ZP.271.</w:t>
    </w:r>
    <w:r w:rsidR="00C8371C">
      <w:rPr>
        <w:rFonts w:ascii="Cambria" w:hAnsi="Cambria"/>
        <w:b/>
        <w:sz w:val="20"/>
      </w:rPr>
      <w:t>4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83638"/>
    <w:rsid w:val="001A0524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3E3CE7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26921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4ED6"/>
    <w:rsid w:val="00AC6BC0"/>
    <w:rsid w:val="00AD3256"/>
    <w:rsid w:val="00AF2A9B"/>
    <w:rsid w:val="00AF2C1D"/>
    <w:rsid w:val="00B077A6"/>
    <w:rsid w:val="00B10AC7"/>
    <w:rsid w:val="00B301F7"/>
    <w:rsid w:val="00B30640"/>
    <w:rsid w:val="00B34FA3"/>
    <w:rsid w:val="00B44D8D"/>
    <w:rsid w:val="00B63413"/>
    <w:rsid w:val="00B67C9A"/>
    <w:rsid w:val="00B8059F"/>
    <w:rsid w:val="00B84709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371C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47851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5177-414B-449E-A9CD-D2C3A0F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DFE7-A501-4811-9DBC-FDCA776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6768</Words>
  <Characters>40610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6</cp:revision>
  <cp:lastPrinted>2022-03-25T09:50:00Z</cp:lastPrinted>
  <dcterms:created xsi:type="dcterms:W3CDTF">2022-03-25T10:11:00Z</dcterms:created>
  <dcterms:modified xsi:type="dcterms:W3CDTF">2022-04-25T10:03:00Z</dcterms:modified>
</cp:coreProperties>
</file>